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5D1" w:rsidRDefault="005515D1" w:rsidP="005515D1">
      <w:pPr>
        <w:pStyle w:val="Heading1"/>
      </w:pPr>
      <w:r w:rsidRPr="006D01F3">
        <w:t xml:space="preserve">Spectrum: Methods for Estimating </w:t>
      </w:r>
      <w:r>
        <w:t xml:space="preserve">HIV </w:t>
      </w:r>
      <w:r w:rsidR="00927320">
        <w:t>among</w:t>
      </w:r>
      <w:r>
        <w:t xml:space="preserve"> Children</w:t>
      </w:r>
    </w:p>
    <w:p w:rsidR="005515D1" w:rsidRDefault="005515D1" w:rsidP="005515D1"/>
    <w:p w:rsidR="005515D1" w:rsidRPr="005515D1" w:rsidRDefault="005515D1" w:rsidP="005515D1">
      <w:r>
        <w:t>Updated: December 29, 2010</w:t>
      </w:r>
    </w:p>
    <w:p w:rsidR="005515D1" w:rsidRDefault="005515D1" w:rsidP="005515D1"/>
    <w:p w:rsidR="005515D1" w:rsidRDefault="005515D1" w:rsidP="005515D1"/>
    <w:p w:rsidR="005515D1" w:rsidRDefault="005515D1" w:rsidP="005515D1">
      <w:r>
        <w:t>New HIV infections among children due to vertical transmission are calculated on the basis of the proportion of HIV+ mothers and children receiving prophylaxis and the effectiveness of each prophylaxis regimen as described in a companion document to this one: “Spectrum: Methods for Estimating Mother-to-Child Transmission.”</w:t>
      </w:r>
    </w:p>
    <w:p w:rsidR="00ED698E" w:rsidRDefault="00ED698E"/>
    <w:p w:rsidR="00805ECE" w:rsidRDefault="00805ECE" w:rsidP="00805ECE">
      <w:pPr>
        <w:pStyle w:val="Heading2"/>
      </w:pPr>
      <w:r>
        <w:t>Progression from infection to AIDS death</w:t>
      </w:r>
    </w:p>
    <w:p w:rsidR="00805ECE" w:rsidRDefault="00805ECE" w:rsidP="005515D1"/>
    <w:p w:rsidR="004C6CFB" w:rsidRDefault="00805ECE" w:rsidP="005515D1">
      <w:r>
        <w:t xml:space="preserve">In the absence of ART and </w:t>
      </w:r>
      <w:proofErr w:type="spellStart"/>
      <w:r>
        <w:t>cotrimoxazole</w:t>
      </w:r>
      <w:proofErr w:type="spellEnd"/>
      <w:r>
        <w:t xml:space="preserve"> prophylaxis, c</w:t>
      </w:r>
      <w:r w:rsidR="0082218E">
        <w:t xml:space="preserve">hildren infected through vertical transmission progress over time to AIDS death according to a Weibull pattern. Different progression patterns are used for children infected </w:t>
      </w:r>
      <w:proofErr w:type="spellStart"/>
      <w:r w:rsidR="0082218E">
        <w:t>perinatally</w:t>
      </w:r>
      <w:proofErr w:type="spellEnd"/>
      <w:r w:rsidR="0082218E">
        <w:t xml:space="preserve"> and those infected 0-6 months, 7-12 months and &gt;12 months postpartum through breastfeeding. Analysis of data from sub-Saharan Africa shows distinct survival patterns for these four groups</w:t>
      </w:r>
      <w:r w:rsidR="004C6CFB" w:rsidRPr="009A74B6">
        <w:rPr>
          <w:vertAlign w:val="superscript"/>
        </w:rPr>
        <w:footnoteReference w:id="1"/>
      </w:r>
      <w:proofErr w:type="gramStart"/>
      <w:r w:rsidR="0082218E" w:rsidRPr="009A74B6">
        <w:rPr>
          <w:vertAlign w:val="superscript"/>
        </w:rPr>
        <w:t>,</w:t>
      </w:r>
      <w:r w:rsidR="0082218E" w:rsidRPr="009A74B6">
        <w:rPr>
          <w:vertAlign w:val="superscript"/>
        </w:rPr>
        <w:footnoteReference w:id="2"/>
      </w:r>
      <w:r w:rsidR="004C6CFB">
        <w:t>.</w:t>
      </w:r>
      <w:proofErr w:type="gramEnd"/>
      <w:r w:rsidR="0082218E">
        <w:t xml:space="preserve"> The patterns used in Spectrum are shown in Figure 1. </w:t>
      </w:r>
    </w:p>
    <w:p w:rsidR="005515D1" w:rsidRDefault="005515D1" w:rsidP="005515D1"/>
    <w:p w:rsidR="005515D1" w:rsidRDefault="005515D1" w:rsidP="005515D1"/>
    <w:p w:rsidR="0082218E" w:rsidRDefault="0082218E">
      <w:pPr>
        <w:spacing w:after="200" w:line="276" w:lineRule="auto"/>
      </w:pPr>
      <w:r>
        <w:br w:type="page"/>
      </w:r>
    </w:p>
    <w:p w:rsidR="0082218E" w:rsidRDefault="0082218E" w:rsidP="004C6CFB">
      <w:pPr>
        <w:spacing w:line="480" w:lineRule="auto"/>
      </w:pPr>
    </w:p>
    <w:p w:rsidR="0082218E" w:rsidRDefault="0082218E" w:rsidP="004C6CFB">
      <w:pPr>
        <w:spacing w:line="480" w:lineRule="auto"/>
      </w:pPr>
      <w:proofErr w:type="gramStart"/>
      <w:r>
        <w:t>Figure 1.</w:t>
      </w:r>
      <w:proofErr w:type="gramEnd"/>
      <w:r>
        <w:t xml:space="preserve"> Percent of Children Survival by Years </w:t>
      </w:r>
      <w:proofErr w:type="gramStart"/>
      <w:r>
        <w:t>Since</w:t>
      </w:r>
      <w:proofErr w:type="gramEnd"/>
      <w:r>
        <w:t xml:space="preserve"> Infection</w:t>
      </w:r>
    </w:p>
    <w:p w:rsidR="0082218E" w:rsidRDefault="002B0E08" w:rsidP="004C6CFB">
      <w:pPr>
        <w:spacing w:line="480" w:lineRule="auto"/>
      </w:pPr>
      <w:r w:rsidRPr="002B0E08">
        <w:rPr>
          <w:noProof/>
          <w:lang w:eastAsia="zh-CN"/>
        </w:rPr>
        <w:drawing>
          <wp:inline distT="0" distB="0" distL="0" distR="0">
            <wp:extent cx="5943600" cy="453421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43600" cy="4534210"/>
                    </a:xfrm>
                    <a:prstGeom prst="rect">
                      <a:avLst/>
                    </a:prstGeom>
                    <a:noFill/>
                    <a:ln w="9525">
                      <a:noFill/>
                      <a:miter lim="800000"/>
                      <a:headEnd/>
                      <a:tailEnd/>
                    </a:ln>
                  </pic:spPr>
                </pic:pic>
              </a:graphicData>
            </a:graphic>
          </wp:inline>
        </w:drawing>
      </w:r>
    </w:p>
    <w:p w:rsidR="004C6CFB" w:rsidRDefault="004C6CFB" w:rsidP="004C6CFB"/>
    <w:p w:rsidR="005515D1" w:rsidRDefault="005515D1" w:rsidP="005515D1">
      <w:pPr>
        <w:rPr>
          <w:rFonts w:ascii="Calibri" w:hAnsi="Calibri"/>
        </w:rPr>
      </w:pPr>
    </w:p>
    <w:p w:rsidR="005515D1" w:rsidRDefault="00805ECE" w:rsidP="00805ECE">
      <w:pPr>
        <w:pStyle w:val="Heading2"/>
      </w:pPr>
      <w:r>
        <w:t>Eligibility for ART</w:t>
      </w:r>
    </w:p>
    <w:p w:rsidR="00FE5DFE" w:rsidRDefault="00FE5DFE" w:rsidP="00FE5DFE"/>
    <w:p w:rsidR="00FE5DFE" w:rsidRPr="00FE5DFE" w:rsidRDefault="00FE5DFE" w:rsidP="00FE5DFE">
      <w:r>
        <w:t>[Note: This discussion is taken from the previous methods paper on ART parameters</w:t>
      </w:r>
      <w:r>
        <w:rPr>
          <w:rStyle w:val="FootnoteReference"/>
        </w:rPr>
        <w:footnoteReference w:id="3"/>
      </w:r>
      <w:r>
        <w:t>.]</w:t>
      </w:r>
    </w:p>
    <w:p w:rsidR="00805ECE" w:rsidRDefault="00805ECE" w:rsidP="005515D1">
      <w:pPr>
        <w:rPr>
          <w:rFonts w:ascii="Calibri" w:hAnsi="Calibri"/>
        </w:rPr>
      </w:pPr>
    </w:p>
    <w:p w:rsidR="005515D1" w:rsidRPr="00FE5DFE" w:rsidRDefault="00805ECE" w:rsidP="005515D1">
      <w:r w:rsidRPr="00FE5DFE">
        <w:t xml:space="preserve">Eligibility for treatment can be defined in terms of three criteria: (1) a specific age below which all HIV+ children are eligible for treatment, (2) CD4 percent, and (3) CD4 count. </w:t>
      </w:r>
      <w:r w:rsidR="005515D1" w:rsidRPr="00FE5DFE">
        <w:t xml:space="preserve">The default settings in Spectrum reflect the timing and criteria of the WHO guidelines as they have been implemented.  From 2000 until 2006 eligibility for ART among children was based on a graduated CD4 cell count or percent depending on age (see Table 1).  From 2007-2009 the </w:t>
      </w:r>
      <w:r w:rsidR="005515D1" w:rsidRPr="00FE5DFE">
        <w:lastRenderedPageBreak/>
        <w:t xml:space="preserve">guidelines included </w:t>
      </w:r>
      <w:r w:rsidR="00FE5DFE">
        <w:t xml:space="preserve">as eligible </w:t>
      </w:r>
      <w:r w:rsidR="005515D1" w:rsidRPr="00FE5DFE">
        <w:t xml:space="preserve">that all children identified as HIV-positive under 12 months </w:t>
      </w:r>
      <w:r w:rsidR="00FE5DFE">
        <w:t>of age</w:t>
      </w:r>
      <w:r w:rsidR="005515D1" w:rsidRPr="00FE5DFE">
        <w:t>.  In 2010 the WHO published guidelines recommending that all children under 24 months be provided with ART and children ages 24 - 59 months were eligible for ART if their CD4 count was less than 750</w:t>
      </w:r>
      <w:r w:rsidR="00FE5DFE">
        <w:rPr>
          <w:rStyle w:val="FootnoteReference"/>
        </w:rPr>
        <w:footnoteReference w:id="4"/>
      </w:r>
      <w:r w:rsidR="0013301A">
        <w:t>.</w:t>
      </w:r>
      <w:r w:rsidR="00FE5DFE" w:rsidRPr="00FE5DFE">
        <w:t xml:space="preserve"> </w:t>
      </w:r>
    </w:p>
    <w:p w:rsidR="005515D1" w:rsidRDefault="005515D1" w:rsidP="005515D1">
      <w:pPr>
        <w:rPr>
          <w:rFonts w:ascii="Calibri" w:hAnsi="Calibri"/>
        </w:rPr>
      </w:pPr>
    </w:p>
    <w:p w:rsidR="005515D1" w:rsidRDefault="005515D1" w:rsidP="005515D1">
      <w:pPr>
        <w:keepNext/>
        <w:rPr>
          <w:rFonts w:ascii="Calibri" w:hAnsi="Calibri"/>
        </w:rPr>
      </w:pPr>
      <w:proofErr w:type="gramStart"/>
      <w:r>
        <w:rPr>
          <w:rFonts w:ascii="Calibri" w:hAnsi="Calibri"/>
        </w:rPr>
        <w:t>Table 1.</w:t>
      </w:r>
      <w:proofErr w:type="gramEnd"/>
      <w:r>
        <w:rPr>
          <w:rFonts w:ascii="Calibri" w:hAnsi="Calibri"/>
        </w:rPr>
        <w:t xml:space="preserve"> ART eligibility criteria for children in Spectrum </w:t>
      </w:r>
    </w:p>
    <w:tbl>
      <w:tblPr>
        <w:tblW w:w="8670" w:type="dxa"/>
        <w:tblInd w:w="93" w:type="dxa"/>
        <w:tblLook w:val="0000"/>
      </w:tblPr>
      <w:tblGrid>
        <w:gridCol w:w="5379"/>
        <w:gridCol w:w="1097"/>
        <w:gridCol w:w="1097"/>
        <w:gridCol w:w="1097"/>
      </w:tblGrid>
      <w:tr w:rsidR="005515D1" w:rsidRPr="009212B1" w:rsidTr="00F86725">
        <w:trPr>
          <w:trHeight w:val="255"/>
        </w:trPr>
        <w:tc>
          <w:tcPr>
            <w:tcW w:w="5379" w:type="dxa"/>
            <w:tcBorders>
              <w:top w:val="single" w:sz="4" w:space="0" w:color="auto"/>
              <w:left w:val="nil"/>
              <w:bottom w:val="single" w:sz="4" w:space="0" w:color="auto"/>
              <w:right w:val="nil"/>
            </w:tcBorders>
            <w:shd w:val="clear" w:color="auto" w:fill="auto"/>
            <w:noWrap/>
            <w:vAlign w:val="bottom"/>
          </w:tcPr>
          <w:p w:rsidR="005515D1" w:rsidRPr="009212B1" w:rsidRDefault="005515D1" w:rsidP="00F86725">
            <w:pPr>
              <w:keepNext/>
              <w:rPr>
                <w:rFonts w:ascii="Calibri" w:hAnsi="Calibri" w:cs="Arial"/>
                <w:sz w:val="20"/>
                <w:szCs w:val="20"/>
              </w:rPr>
            </w:pPr>
          </w:p>
        </w:tc>
        <w:tc>
          <w:tcPr>
            <w:tcW w:w="1097" w:type="dxa"/>
            <w:tcBorders>
              <w:top w:val="single" w:sz="4" w:space="0" w:color="auto"/>
              <w:left w:val="nil"/>
              <w:bottom w:val="single" w:sz="4" w:space="0" w:color="auto"/>
              <w:right w:val="nil"/>
            </w:tcBorders>
            <w:shd w:val="clear" w:color="auto" w:fill="auto"/>
            <w:noWrap/>
            <w:vAlign w:val="bottom"/>
          </w:tcPr>
          <w:p w:rsidR="005515D1" w:rsidRPr="009212B1" w:rsidRDefault="005515D1" w:rsidP="00F86725">
            <w:pPr>
              <w:keepNext/>
              <w:jc w:val="right"/>
              <w:rPr>
                <w:rFonts w:ascii="Calibri" w:hAnsi="Calibri" w:cs="Arial"/>
                <w:sz w:val="20"/>
                <w:szCs w:val="20"/>
              </w:rPr>
            </w:pPr>
            <w:r>
              <w:rPr>
                <w:rFonts w:ascii="Calibri" w:hAnsi="Calibri" w:cs="Arial"/>
                <w:sz w:val="20"/>
                <w:szCs w:val="20"/>
              </w:rPr>
              <w:t>2000</w:t>
            </w:r>
            <w:r w:rsidRPr="009212B1">
              <w:rPr>
                <w:rFonts w:ascii="Calibri" w:hAnsi="Calibri" w:cs="Arial"/>
                <w:sz w:val="20"/>
                <w:szCs w:val="20"/>
              </w:rPr>
              <w:t>-2006</w:t>
            </w:r>
          </w:p>
        </w:tc>
        <w:tc>
          <w:tcPr>
            <w:tcW w:w="1097" w:type="dxa"/>
            <w:tcBorders>
              <w:top w:val="single" w:sz="4" w:space="0" w:color="auto"/>
              <w:left w:val="nil"/>
              <w:bottom w:val="single" w:sz="4" w:space="0" w:color="auto"/>
              <w:right w:val="nil"/>
            </w:tcBorders>
            <w:shd w:val="clear" w:color="auto" w:fill="auto"/>
            <w:noWrap/>
            <w:vAlign w:val="bottom"/>
          </w:tcPr>
          <w:p w:rsidR="005515D1" w:rsidRPr="009212B1" w:rsidRDefault="005515D1" w:rsidP="00F86725">
            <w:pPr>
              <w:keepNext/>
              <w:jc w:val="right"/>
              <w:rPr>
                <w:rFonts w:ascii="Calibri" w:hAnsi="Calibri" w:cs="Arial"/>
                <w:sz w:val="20"/>
                <w:szCs w:val="20"/>
              </w:rPr>
            </w:pPr>
            <w:r w:rsidRPr="009212B1">
              <w:rPr>
                <w:rFonts w:ascii="Calibri" w:hAnsi="Calibri" w:cs="Arial"/>
                <w:sz w:val="20"/>
                <w:szCs w:val="20"/>
              </w:rPr>
              <w:t>2007-2009</w:t>
            </w:r>
          </w:p>
        </w:tc>
        <w:tc>
          <w:tcPr>
            <w:tcW w:w="1097" w:type="dxa"/>
            <w:tcBorders>
              <w:top w:val="single" w:sz="4" w:space="0" w:color="auto"/>
              <w:left w:val="nil"/>
              <w:bottom w:val="single" w:sz="4" w:space="0" w:color="auto"/>
              <w:right w:val="nil"/>
            </w:tcBorders>
            <w:shd w:val="clear" w:color="auto" w:fill="auto"/>
            <w:noWrap/>
            <w:vAlign w:val="bottom"/>
          </w:tcPr>
          <w:p w:rsidR="005515D1" w:rsidRPr="009212B1" w:rsidRDefault="005515D1" w:rsidP="00F86725">
            <w:pPr>
              <w:keepNext/>
              <w:jc w:val="right"/>
              <w:rPr>
                <w:rFonts w:ascii="Calibri" w:hAnsi="Calibri" w:cs="Arial"/>
                <w:sz w:val="20"/>
                <w:szCs w:val="20"/>
              </w:rPr>
            </w:pPr>
            <w:r w:rsidRPr="009212B1">
              <w:rPr>
                <w:rFonts w:ascii="Calibri" w:hAnsi="Calibri" w:cs="Arial"/>
                <w:sz w:val="20"/>
                <w:szCs w:val="20"/>
              </w:rPr>
              <w:t>2010-2015</w:t>
            </w:r>
          </w:p>
        </w:tc>
      </w:tr>
      <w:tr w:rsidR="005515D1" w:rsidRPr="009212B1" w:rsidTr="00F86725">
        <w:trPr>
          <w:trHeight w:val="255"/>
        </w:trPr>
        <w:tc>
          <w:tcPr>
            <w:tcW w:w="5379" w:type="dxa"/>
            <w:tcBorders>
              <w:top w:val="single" w:sz="4" w:space="0" w:color="auto"/>
              <w:left w:val="nil"/>
              <w:bottom w:val="nil"/>
              <w:right w:val="nil"/>
            </w:tcBorders>
            <w:shd w:val="clear" w:color="auto" w:fill="auto"/>
            <w:noWrap/>
            <w:vAlign w:val="bottom"/>
          </w:tcPr>
          <w:p w:rsidR="005515D1" w:rsidRPr="009212B1" w:rsidRDefault="005515D1" w:rsidP="00F86725">
            <w:pPr>
              <w:keepNext/>
              <w:rPr>
                <w:rFonts w:ascii="Calibri" w:hAnsi="Calibri" w:cs="Arial"/>
                <w:sz w:val="20"/>
                <w:szCs w:val="20"/>
              </w:rPr>
            </w:pPr>
            <w:r w:rsidRPr="009212B1">
              <w:rPr>
                <w:rFonts w:ascii="Calibri" w:hAnsi="Calibri" w:cs="Arial"/>
                <w:sz w:val="20"/>
                <w:szCs w:val="20"/>
              </w:rPr>
              <w:t xml:space="preserve">Age below which all HIV+ children </w:t>
            </w:r>
            <w:r>
              <w:rPr>
                <w:rFonts w:ascii="Calibri" w:hAnsi="Calibri" w:cs="Arial"/>
                <w:sz w:val="20"/>
                <w:szCs w:val="20"/>
              </w:rPr>
              <w:t>receive</w:t>
            </w:r>
            <w:r w:rsidRPr="009212B1">
              <w:rPr>
                <w:rFonts w:ascii="Calibri" w:hAnsi="Calibri" w:cs="Arial"/>
                <w:sz w:val="20"/>
                <w:szCs w:val="20"/>
              </w:rPr>
              <w:t xml:space="preserve"> treatment (months)</w:t>
            </w:r>
          </w:p>
        </w:tc>
        <w:tc>
          <w:tcPr>
            <w:tcW w:w="1097" w:type="dxa"/>
            <w:tcBorders>
              <w:top w:val="single" w:sz="4" w:space="0" w:color="auto"/>
              <w:left w:val="nil"/>
              <w:bottom w:val="nil"/>
              <w:right w:val="nil"/>
            </w:tcBorders>
            <w:shd w:val="clear" w:color="auto" w:fill="auto"/>
            <w:noWrap/>
            <w:vAlign w:val="bottom"/>
          </w:tcPr>
          <w:p w:rsidR="005515D1" w:rsidRPr="009212B1" w:rsidRDefault="005515D1" w:rsidP="00F86725">
            <w:pPr>
              <w:keepNext/>
              <w:jc w:val="right"/>
              <w:rPr>
                <w:rFonts w:ascii="Calibri" w:hAnsi="Calibri" w:cs="Arial"/>
                <w:sz w:val="20"/>
                <w:szCs w:val="20"/>
              </w:rPr>
            </w:pPr>
            <w:r w:rsidRPr="009212B1">
              <w:rPr>
                <w:rFonts w:ascii="Calibri" w:hAnsi="Calibri" w:cs="Arial"/>
                <w:sz w:val="20"/>
                <w:szCs w:val="20"/>
              </w:rPr>
              <w:t>0</w:t>
            </w:r>
          </w:p>
        </w:tc>
        <w:tc>
          <w:tcPr>
            <w:tcW w:w="1097" w:type="dxa"/>
            <w:tcBorders>
              <w:top w:val="single" w:sz="4" w:space="0" w:color="auto"/>
              <w:left w:val="nil"/>
              <w:bottom w:val="nil"/>
              <w:right w:val="nil"/>
            </w:tcBorders>
            <w:shd w:val="clear" w:color="auto" w:fill="auto"/>
            <w:noWrap/>
            <w:vAlign w:val="bottom"/>
          </w:tcPr>
          <w:p w:rsidR="005515D1" w:rsidRPr="009212B1" w:rsidRDefault="005515D1" w:rsidP="00F86725">
            <w:pPr>
              <w:keepNext/>
              <w:jc w:val="right"/>
              <w:rPr>
                <w:rFonts w:ascii="Calibri" w:hAnsi="Calibri" w:cs="Arial"/>
                <w:sz w:val="20"/>
                <w:szCs w:val="20"/>
              </w:rPr>
            </w:pPr>
            <w:r w:rsidRPr="009212B1">
              <w:rPr>
                <w:rFonts w:ascii="Calibri" w:hAnsi="Calibri" w:cs="Arial"/>
                <w:sz w:val="20"/>
                <w:szCs w:val="20"/>
              </w:rPr>
              <w:t>12</w:t>
            </w:r>
          </w:p>
        </w:tc>
        <w:tc>
          <w:tcPr>
            <w:tcW w:w="1097" w:type="dxa"/>
            <w:tcBorders>
              <w:top w:val="single" w:sz="4" w:space="0" w:color="auto"/>
              <w:left w:val="nil"/>
              <w:bottom w:val="nil"/>
              <w:right w:val="nil"/>
            </w:tcBorders>
            <w:shd w:val="clear" w:color="auto" w:fill="auto"/>
            <w:noWrap/>
            <w:vAlign w:val="bottom"/>
          </w:tcPr>
          <w:p w:rsidR="005515D1" w:rsidRPr="009212B1" w:rsidRDefault="005515D1" w:rsidP="00F86725">
            <w:pPr>
              <w:keepNext/>
              <w:jc w:val="right"/>
              <w:rPr>
                <w:rFonts w:ascii="Calibri" w:hAnsi="Calibri" w:cs="Arial"/>
                <w:sz w:val="20"/>
                <w:szCs w:val="20"/>
              </w:rPr>
            </w:pPr>
            <w:r w:rsidRPr="009212B1">
              <w:rPr>
                <w:rFonts w:ascii="Calibri" w:hAnsi="Calibri" w:cs="Arial"/>
                <w:sz w:val="20"/>
                <w:szCs w:val="20"/>
              </w:rPr>
              <w:t>24</w:t>
            </w:r>
          </w:p>
        </w:tc>
      </w:tr>
      <w:tr w:rsidR="005515D1" w:rsidRPr="001A36E3" w:rsidTr="00F86725">
        <w:trPr>
          <w:trHeight w:val="255"/>
        </w:trPr>
        <w:tc>
          <w:tcPr>
            <w:tcW w:w="6476" w:type="dxa"/>
            <w:gridSpan w:val="2"/>
            <w:tcBorders>
              <w:top w:val="nil"/>
              <w:left w:val="nil"/>
              <w:bottom w:val="nil"/>
              <w:right w:val="nil"/>
            </w:tcBorders>
            <w:shd w:val="clear" w:color="auto" w:fill="auto"/>
            <w:noWrap/>
            <w:vAlign w:val="bottom"/>
          </w:tcPr>
          <w:p w:rsidR="005515D1" w:rsidRPr="001A36E3" w:rsidRDefault="005515D1" w:rsidP="00F86725">
            <w:pPr>
              <w:keepNext/>
              <w:rPr>
                <w:rFonts w:ascii="Calibri" w:hAnsi="Calibri" w:cs="Arial"/>
                <w:b/>
                <w:sz w:val="20"/>
                <w:szCs w:val="20"/>
              </w:rPr>
            </w:pPr>
            <w:r w:rsidRPr="001A36E3">
              <w:rPr>
                <w:rFonts w:ascii="Calibri" w:hAnsi="Calibri" w:cs="Arial"/>
                <w:b/>
                <w:sz w:val="20"/>
                <w:szCs w:val="20"/>
              </w:rPr>
              <w:t>CD4 count threshold for eligibility</w:t>
            </w:r>
          </w:p>
        </w:tc>
        <w:tc>
          <w:tcPr>
            <w:tcW w:w="1097" w:type="dxa"/>
            <w:tcBorders>
              <w:top w:val="nil"/>
              <w:left w:val="nil"/>
              <w:bottom w:val="nil"/>
              <w:right w:val="nil"/>
            </w:tcBorders>
            <w:shd w:val="clear" w:color="auto" w:fill="auto"/>
            <w:noWrap/>
            <w:vAlign w:val="bottom"/>
          </w:tcPr>
          <w:p w:rsidR="005515D1" w:rsidRPr="001A36E3" w:rsidRDefault="005515D1" w:rsidP="00F86725">
            <w:pPr>
              <w:keepNext/>
              <w:rPr>
                <w:rFonts w:ascii="Calibri" w:hAnsi="Calibri" w:cs="Arial"/>
                <w:b/>
                <w:sz w:val="20"/>
                <w:szCs w:val="20"/>
              </w:rPr>
            </w:pPr>
          </w:p>
        </w:tc>
        <w:tc>
          <w:tcPr>
            <w:tcW w:w="1097" w:type="dxa"/>
            <w:tcBorders>
              <w:top w:val="nil"/>
              <w:left w:val="nil"/>
              <w:bottom w:val="nil"/>
              <w:right w:val="nil"/>
            </w:tcBorders>
            <w:shd w:val="clear" w:color="auto" w:fill="auto"/>
            <w:noWrap/>
            <w:vAlign w:val="bottom"/>
          </w:tcPr>
          <w:p w:rsidR="005515D1" w:rsidRPr="001A36E3" w:rsidRDefault="005515D1" w:rsidP="00F86725">
            <w:pPr>
              <w:keepNext/>
              <w:rPr>
                <w:rFonts w:ascii="Calibri" w:hAnsi="Calibri" w:cs="Arial"/>
                <w:b/>
                <w:sz w:val="20"/>
                <w:szCs w:val="20"/>
              </w:rPr>
            </w:pPr>
          </w:p>
        </w:tc>
      </w:tr>
      <w:tr w:rsidR="005515D1" w:rsidRPr="009212B1" w:rsidTr="00F86725">
        <w:trPr>
          <w:trHeight w:val="255"/>
        </w:trPr>
        <w:tc>
          <w:tcPr>
            <w:tcW w:w="5379" w:type="dxa"/>
            <w:tcBorders>
              <w:top w:val="nil"/>
              <w:left w:val="nil"/>
              <w:bottom w:val="nil"/>
              <w:right w:val="nil"/>
            </w:tcBorders>
            <w:shd w:val="clear" w:color="auto" w:fill="auto"/>
            <w:noWrap/>
            <w:vAlign w:val="bottom"/>
          </w:tcPr>
          <w:p w:rsidR="005515D1" w:rsidRPr="009212B1" w:rsidRDefault="005515D1" w:rsidP="00F86725">
            <w:pPr>
              <w:keepNext/>
              <w:rPr>
                <w:rFonts w:ascii="Calibri" w:hAnsi="Calibri" w:cs="Arial"/>
                <w:sz w:val="20"/>
                <w:szCs w:val="20"/>
              </w:rPr>
            </w:pPr>
            <w:r w:rsidRPr="009212B1">
              <w:rPr>
                <w:rFonts w:ascii="Calibri" w:hAnsi="Calibri" w:cs="Arial"/>
                <w:sz w:val="20"/>
                <w:szCs w:val="20"/>
              </w:rPr>
              <w:t>Age &lt; 11 months</w:t>
            </w:r>
          </w:p>
        </w:tc>
        <w:tc>
          <w:tcPr>
            <w:tcW w:w="1097" w:type="dxa"/>
            <w:tcBorders>
              <w:top w:val="nil"/>
              <w:left w:val="nil"/>
              <w:bottom w:val="nil"/>
              <w:right w:val="nil"/>
            </w:tcBorders>
            <w:shd w:val="clear" w:color="auto" w:fill="auto"/>
            <w:noWrap/>
            <w:vAlign w:val="bottom"/>
          </w:tcPr>
          <w:p w:rsidR="005515D1" w:rsidRPr="009212B1" w:rsidRDefault="005515D1" w:rsidP="00F86725">
            <w:pPr>
              <w:keepNext/>
              <w:jc w:val="right"/>
              <w:rPr>
                <w:rFonts w:ascii="Calibri" w:hAnsi="Calibri" w:cs="Arial"/>
                <w:sz w:val="20"/>
                <w:szCs w:val="20"/>
              </w:rPr>
            </w:pPr>
            <w:r w:rsidRPr="009212B1">
              <w:rPr>
                <w:rFonts w:ascii="Calibri" w:hAnsi="Calibri" w:cs="Arial"/>
                <w:sz w:val="20"/>
                <w:szCs w:val="20"/>
              </w:rPr>
              <w:t>1,500</w:t>
            </w:r>
          </w:p>
        </w:tc>
        <w:tc>
          <w:tcPr>
            <w:tcW w:w="1097" w:type="dxa"/>
            <w:tcBorders>
              <w:top w:val="nil"/>
              <w:left w:val="nil"/>
              <w:bottom w:val="nil"/>
              <w:right w:val="nil"/>
            </w:tcBorders>
            <w:shd w:val="clear" w:color="auto" w:fill="auto"/>
            <w:noWrap/>
            <w:vAlign w:val="bottom"/>
          </w:tcPr>
          <w:p w:rsidR="005515D1" w:rsidRPr="009212B1" w:rsidRDefault="005515D1" w:rsidP="00F86725">
            <w:pPr>
              <w:keepNext/>
              <w:jc w:val="right"/>
              <w:rPr>
                <w:rFonts w:ascii="Calibri" w:hAnsi="Calibri" w:cs="Arial"/>
                <w:sz w:val="20"/>
                <w:szCs w:val="20"/>
              </w:rPr>
            </w:pPr>
            <w:r w:rsidRPr="009212B1">
              <w:rPr>
                <w:rFonts w:ascii="Calibri" w:hAnsi="Calibri" w:cs="Arial"/>
                <w:sz w:val="20"/>
                <w:szCs w:val="20"/>
              </w:rPr>
              <w:t>1,500</w:t>
            </w:r>
          </w:p>
        </w:tc>
        <w:tc>
          <w:tcPr>
            <w:tcW w:w="1097" w:type="dxa"/>
            <w:tcBorders>
              <w:top w:val="nil"/>
              <w:left w:val="nil"/>
              <w:bottom w:val="nil"/>
              <w:right w:val="nil"/>
            </w:tcBorders>
            <w:shd w:val="clear" w:color="auto" w:fill="auto"/>
            <w:noWrap/>
            <w:vAlign w:val="bottom"/>
          </w:tcPr>
          <w:p w:rsidR="005515D1" w:rsidRPr="009212B1" w:rsidRDefault="005515D1" w:rsidP="00F86725">
            <w:pPr>
              <w:keepNext/>
              <w:jc w:val="right"/>
              <w:rPr>
                <w:rFonts w:ascii="Calibri" w:hAnsi="Calibri" w:cs="Arial"/>
                <w:sz w:val="20"/>
                <w:szCs w:val="20"/>
              </w:rPr>
            </w:pPr>
            <w:r w:rsidRPr="009212B1">
              <w:rPr>
                <w:rFonts w:ascii="Calibri" w:hAnsi="Calibri" w:cs="Arial"/>
                <w:sz w:val="20"/>
                <w:szCs w:val="20"/>
              </w:rPr>
              <w:t>750</w:t>
            </w:r>
          </w:p>
        </w:tc>
      </w:tr>
      <w:tr w:rsidR="005515D1" w:rsidRPr="009212B1" w:rsidTr="00F86725">
        <w:trPr>
          <w:trHeight w:val="255"/>
        </w:trPr>
        <w:tc>
          <w:tcPr>
            <w:tcW w:w="5379" w:type="dxa"/>
            <w:tcBorders>
              <w:top w:val="nil"/>
              <w:left w:val="nil"/>
              <w:bottom w:val="nil"/>
              <w:right w:val="nil"/>
            </w:tcBorders>
            <w:shd w:val="clear" w:color="auto" w:fill="auto"/>
            <w:noWrap/>
            <w:vAlign w:val="bottom"/>
          </w:tcPr>
          <w:p w:rsidR="005515D1" w:rsidRPr="009212B1" w:rsidRDefault="005515D1" w:rsidP="00F86725">
            <w:pPr>
              <w:keepNext/>
              <w:rPr>
                <w:rFonts w:ascii="Calibri" w:hAnsi="Calibri" w:cs="Arial"/>
                <w:sz w:val="20"/>
                <w:szCs w:val="20"/>
              </w:rPr>
            </w:pPr>
            <w:r w:rsidRPr="009212B1">
              <w:rPr>
                <w:rFonts w:ascii="Calibri" w:hAnsi="Calibri" w:cs="Arial"/>
                <w:sz w:val="20"/>
                <w:szCs w:val="20"/>
              </w:rPr>
              <w:t>Age 12-35 months</w:t>
            </w:r>
          </w:p>
        </w:tc>
        <w:tc>
          <w:tcPr>
            <w:tcW w:w="1097" w:type="dxa"/>
            <w:tcBorders>
              <w:top w:val="nil"/>
              <w:left w:val="nil"/>
              <w:bottom w:val="nil"/>
              <w:right w:val="nil"/>
            </w:tcBorders>
            <w:shd w:val="clear" w:color="auto" w:fill="auto"/>
            <w:noWrap/>
            <w:vAlign w:val="bottom"/>
          </w:tcPr>
          <w:p w:rsidR="005515D1" w:rsidRPr="009212B1" w:rsidRDefault="005515D1" w:rsidP="00F86725">
            <w:pPr>
              <w:keepNext/>
              <w:jc w:val="right"/>
              <w:rPr>
                <w:rFonts w:ascii="Calibri" w:hAnsi="Calibri" w:cs="Arial"/>
                <w:sz w:val="20"/>
                <w:szCs w:val="20"/>
              </w:rPr>
            </w:pPr>
            <w:r w:rsidRPr="009212B1">
              <w:rPr>
                <w:rFonts w:ascii="Calibri" w:hAnsi="Calibri" w:cs="Arial"/>
                <w:sz w:val="20"/>
                <w:szCs w:val="20"/>
              </w:rPr>
              <w:t>750</w:t>
            </w:r>
          </w:p>
        </w:tc>
        <w:tc>
          <w:tcPr>
            <w:tcW w:w="1097" w:type="dxa"/>
            <w:tcBorders>
              <w:top w:val="nil"/>
              <w:left w:val="nil"/>
              <w:bottom w:val="nil"/>
              <w:right w:val="nil"/>
            </w:tcBorders>
            <w:shd w:val="clear" w:color="auto" w:fill="auto"/>
            <w:noWrap/>
            <w:vAlign w:val="bottom"/>
          </w:tcPr>
          <w:p w:rsidR="005515D1" w:rsidRPr="009212B1" w:rsidRDefault="005515D1" w:rsidP="00F86725">
            <w:pPr>
              <w:keepNext/>
              <w:jc w:val="right"/>
              <w:rPr>
                <w:rFonts w:ascii="Calibri" w:hAnsi="Calibri" w:cs="Arial"/>
                <w:sz w:val="20"/>
                <w:szCs w:val="20"/>
              </w:rPr>
            </w:pPr>
            <w:r w:rsidRPr="009212B1">
              <w:rPr>
                <w:rFonts w:ascii="Calibri" w:hAnsi="Calibri" w:cs="Arial"/>
                <w:sz w:val="20"/>
                <w:szCs w:val="20"/>
              </w:rPr>
              <w:t>750</w:t>
            </w:r>
          </w:p>
        </w:tc>
        <w:tc>
          <w:tcPr>
            <w:tcW w:w="1097" w:type="dxa"/>
            <w:tcBorders>
              <w:top w:val="nil"/>
              <w:left w:val="nil"/>
              <w:bottom w:val="nil"/>
              <w:right w:val="nil"/>
            </w:tcBorders>
            <w:shd w:val="clear" w:color="auto" w:fill="auto"/>
            <w:noWrap/>
            <w:vAlign w:val="bottom"/>
          </w:tcPr>
          <w:p w:rsidR="005515D1" w:rsidRPr="009212B1" w:rsidRDefault="005515D1" w:rsidP="00F86725">
            <w:pPr>
              <w:keepNext/>
              <w:jc w:val="right"/>
              <w:rPr>
                <w:rFonts w:ascii="Calibri" w:hAnsi="Calibri" w:cs="Arial"/>
                <w:sz w:val="20"/>
                <w:szCs w:val="20"/>
              </w:rPr>
            </w:pPr>
            <w:r w:rsidRPr="009212B1">
              <w:rPr>
                <w:rFonts w:ascii="Calibri" w:hAnsi="Calibri" w:cs="Arial"/>
                <w:sz w:val="20"/>
                <w:szCs w:val="20"/>
              </w:rPr>
              <w:t>750</w:t>
            </w:r>
          </w:p>
        </w:tc>
      </w:tr>
      <w:tr w:rsidR="005515D1" w:rsidRPr="009212B1" w:rsidTr="00F86725">
        <w:trPr>
          <w:trHeight w:val="255"/>
        </w:trPr>
        <w:tc>
          <w:tcPr>
            <w:tcW w:w="5379" w:type="dxa"/>
            <w:tcBorders>
              <w:top w:val="nil"/>
              <w:left w:val="nil"/>
              <w:bottom w:val="nil"/>
              <w:right w:val="nil"/>
            </w:tcBorders>
            <w:shd w:val="clear" w:color="auto" w:fill="auto"/>
            <w:noWrap/>
            <w:vAlign w:val="bottom"/>
          </w:tcPr>
          <w:p w:rsidR="005515D1" w:rsidRPr="009212B1" w:rsidRDefault="005515D1" w:rsidP="00F86725">
            <w:pPr>
              <w:keepNext/>
              <w:rPr>
                <w:rFonts w:ascii="Calibri" w:hAnsi="Calibri" w:cs="Arial"/>
                <w:sz w:val="20"/>
                <w:szCs w:val="20"/>
              </w:rPr>
            </w:pPr>
            <w:r w:rsidRPr="009212B1">
              <w:rPr>
                <w:rFonts w:ascii="Calibri" w:hAnsi="Calibri" w:cs="Arial"/>
                <w:sz w:val="20"/>
                <w:szCs w:val="20"/>
              </w:rPr>
              <w:t>Age 35-59 months</w:t>
            </w:r>
          </w:p>
        </w:tc>
        <w:tc>
          <w:tcPr>
            <w:tcW w:w="1097" w:type="dxa"/>
            <w:tcBorders>
              <w:top w:val="nil"/>
              <w:left w:val="nil"/>
              <w:bottom w:val="nil"/>
              <w:right w:val="nil"/>
            </w:tcBorders>
            <w:shd w:val="clear" w:color="auto" w:fill="auto"/>
            <w:noWrap/>
            <w:vAlign w:val="bottom"/>
          </w:tcPr>
          <w:p w:rsidR="005515D1" w:rsidRPr="009212B1" w:rsidRDefault="005515D1" w:rsidP="00F86725">
            <w:pPr>
              <w:keepNext/>
              <w:jc w:val="right"/>
              <w:rPr>
                <w:rFonts w:ascii="Calibri" w:hAnsi="Calibri" w:cs="Arial"/>
                <w:sz w:val="20"/>
                <w:szCs w:val="20"/>
              </w:rPr>
            </w:pPr>
            <w:r w:rsidRPr="009212B1">
              <w:rPr>
                <w:rFonts w:ascii="Calibri" w:hAnsi="Calibri" w:cs="Arial"/>
                <w:sz w:val="20"/>
                <w:szCs w:val="20"/>
              </w:rPr>
              <w:t>350</w:t>
            </w:r>
          </w:p>
        </w:tc>
        <w:tc>
          <w:tcPr>
            <w:tcW w:w="1097" w:type="dxa"/>
            <w:tcBorders>
              <w:top w:val="nil"/>
              <w:left w:val="nil"/>
              <w:bottom w:val="nil"/>
              <w:right w:val="nil"/>
            </w:tcBorders>
            <w:shd w:val="clear" w:color="auto" w:fill="auto"/>
            <w:noWrap/>
            <w:vAlign w:val="bottom"/>
          </w:tcPr>
          <w:p w:rsidR="005515D1" w:rsidRPr="009212B1" w:rsidRDefault="005515D1" w:rsidP="00F86725">
            <w:pPr>
              <w:keepNext/>
              <w:jc w:val="right"/>
              <w:rPr>
                <w:rFonts w:ascii="Calibri" w:hAnsi="Calibri" w:cs="Arial"/>
                <w:sz w:val="20"/>
                <w:szCs w:val="20"/>
              </w:rPr>
            </w:pPr>
            <w:r w:rsidRPr="009212B1">
              <w:rPr>
                <w:rFonts w:ascii="Calibri" w:hAnsi="Calibri" w:cs="Arial"/>
                <w:sz w:val="20"/>
                <w:szCs w:val="20"/>
              </w:rPr>
              <w:t>350</w:t>
            </w:r>
          </w:p>
        </w:tc>
        <w:tc>
          <w:tcPr>
            <w:tcW w:w="1097" w:type="dxa"/>
            <w:tcBorders>
              <w:top w:val="nil"/>
              <w:left w:val="nil"/>
              <w:bottom w:val="nil"/>
              <w:right w:val="nil"/>
            </w:tcBorders>
            <w:shd w:val="clear" w:color="auto" w:fill="auto"/>
            <w:noWrap/>
            <w:vAlign w:val="bottom"/>
          </w:tcPr>
          <w:p w:rsidR="005515D1" w:rsidRPr="009212B1" w:rsidRDefault="005515D1" w:rsidP="00F86725">
            <w:pPr>
              <w:keepNext/>
              <w:jc w:val="right"/>
              <w:rPr>
                <w:rFonts w:ascii="Calibri" w:hAnsi="Calibri" w:cs="Arial"/>
                <w:sz w:val="20"/>
                <w:szCs w:val="20"/>
              </w:rPr>
            </w:pPr>
            <w:r w:rsidRPr="009212B1">
              <w:rPr>
                <w:rFonts w:ascii="Calibri" w:hAnsi="Calibri" w:cs="Arial"/>
                <w:sz w:val="20"/>
                <w:szCs w:val="20"/>
              </w:rPr>
              <w:t>750</w:t>
            </w:r>
          </w:p>
        </w:tc>
      </w:tr>
      <w:tr w:rsidR="005515D1" w:rsidRPr="009212B1" w:rsidTr="00F86725">
        <w:trPr>
          <w:trHeight w:val="255"/>
        </w:trPr>
        <w:tc>
          <w:tcPr>
            <w:tcW w:w="5379" w:type="dxa"/>
            <w:tcBorders>
              <w:top w:val="nil"/>
              <w:left w:val="nil"/>
              <w:bottom w:val="nil"/>
              <w:right w:val="nil"/>
            </w:tcBorders>
            <w:shd w:val="clear" w:color="auto" w:fill="auto"/>
            <w:noWrap/>
            <w:vAlign w:val="bottom"/>
          </w:tcPr>
          <w:p w:rsidR="005515D1" w:rsidRPr="009212B1" w:rsidRDefault="005515D1" w:rsidP="00F86725">
            <w:pPr>
              <w:keepNext/>
              <w:rPr>
                <w:rFonts w:ascii="Calibri" w:hAnsi="Calibri" w:cs="Arial"/>
                <w:sz w:val="20"/>
                <w:szCs w:val="20"/>
              </w:rPr>
            </w:pPr>
            <w:r w:rsidRPr="009212B1">
              <w:rPr>
                <w:rFonts w:ascii="Calibri" w:hAnsi="Calibri" w:cs="Arial"/>
                <w:sz w:val="20"/>
                <w:szCs w:val="20"/>
              </w:rPr>
              <w:t>Age &gt;= 5 years</w:t>
            </w:r>
          </w:p>
        </w:tc>
        <w:tc>
          <w:tcPr>
            <w:tcW w:w="1097" w:type="dxa"/>
            <w:tcBorders>
              <w:top w:val="nil"/>
              <w:left w:val="nil"/>
              <w:bottom w:val="nil"/>
              <w:right w:val="nil"/>
            </w:tcBorders>
            <w:shd w:val="clear" w:color="auto" w:fill="auto"/>
            <w:noWrap/>
            <w:vAlign w:val="bottom"/>
          </w:tcPr>
          <w:p w:rsidR="005515D1" w:rsidRPr="009212B1" w:rsidRDefault="005515D1" w:rsidP="00F86725">
            <w:pPr>
              <w:keepNext/>
              <w:jc w:val="right"/>
              <w:rPr>
                <w:rFonts w:ascii="Calibri" w:hAnsi="Calibri" w:cs="Arial"/>
                <w:sz w:val="20"/>
                <w:szCs w:val="20"/>
              </w:rPr>
            </w:pPr>
            <w:r w:rsidRPr="009212B1">
              <w:rPr>
                <w:rFonts w:ascii="Calibri" w:hAnsi="Calibri" w:cs="Arial"/>
                <w:sz w:val="20"/>
                <w:szCs w:val="20"/>
              </w:rPr>
              <w:t>200</w:t>
            </w:r>
          </w:p>
        </w:tc>
        <w:tc>
          <w:tcPr>
            <w:tcW w:w="1097" w:type="dxa"/>
            <w:tcBorders>
              <w:top w:val="nil"/>
              <w:left w:val="nil"/>
              <w:bottom w:val="nil"/>
              <w:right w:val="nil"/>
            </w:tcBorders>
            <w:shd w:val="clear" w:color="auto" w:fill="auto"/>
            <w:noWrap/>
            <w:vAlign w:val="bottom"/>
          </w:tcPr>
          <w:p w:rsidR="005515D1" w:rsidRPr="009212B1" w:rsidRDefault="005515D1" w:rsidP="00F86725">
            <w:pPr>
              <w:keepNext/>
              <w:jc w:val="right"/>
              <w:rPr>
                <w:rFonts w:ascii="Calibri" w:hAnsi="Calibri" w:cs="Arial"/>
                <w:sz w:val="20"/>
                <w:szCs w:val="20"/>
              </w:rPr>
            </w:pPr>
            <w:r w:rsidRPr="009212B1">
              <w:rPr>
                <w:rFonts w:ascii="Calibri" w:hAnsi="Calibri" w:cs="Arial"/>
                <w:sz w:val="20"/>
                <w:szCs w:val="20"/>
              </w:rPr>
              <w:t>200</w:t>
            </w:r>
          </w:p>
        </w:tc>
        <w:tc>
          <w:tcPr>
            <w:tcW w:w="1097" w:type="dxa"/>
            <w:tcBorders>
              <w:top w:val="nil"/>
              <w:left w:val="nil"/>
              <w:bottom w:val="nil"/>
              <w:right w:val="nil"/>
            </w:tcBorders>
            <w:shd w:val="clear" w:color="auto" w:fill="auto"/>
            <w:noWrap/>
            <w:vAlign w:val="bottom"/>
          </w:tcPr>
          <w:p w:rsidR="005515D1" w:rsidRPr="009212B1" w:rsidRDefault="005515D1" w:rsidP="00F86725">
            <w:pPr>
              <w:keepNext/>
              <w:jc w:val="right"/>
              <w:rPr>
                <w:rFonts w:ascii="Calibri" w:hAnsi="Calibri" w:cs="Arial"/>
                <w:sz w:val="20"/>
                <w:szCs w:val="20"/>
              </w:rPr>
            </w:pPr>
            <w:r w:rsidRPr="009212B1">
              <w:rPr>
                <w:rFonts w:ascii="Calibri" w:hAnsi="Calibri" w:cs="Arial"/>
                <w:sz w:val="20"/>
                <w:szCs w:val="20"/>
              </w:rPr>
              <w:t>350</w:t>
            </w:r>
          </w:p>
        </w:tc>
      </w:tr>
      <w:tr w:rsidR="005515D1" w:rsidRPr="001A36E3" w:rsidTr="00F86725">
        <w:trPr>
          <w:trHeight w:val="255"/>
        </w:trPr>
        <w:tc>
          <w:tcPr>
            <w:tcW w:w="6476" w:type="dxa"/>
            <w:gridSpan w:val="2"/>
            <w:tcBorders>
              <w:top w:val="nil"/>
              <w:left w:val="nil"/>
              <w:bottom w:val="nil"/>
              <w:right w:val="nil"/>
            </w:tcBorders>
            <w:shd w:val="clear" w:color="auto" w:fill="auto"/>
            <w:noWrap/>
            <w:vAlign w:val="bottom"/>
          </w:tcPr>
          <w:p w:rsidR="005515D1" w:rsidRPr="001A36E3" w:rsidRDefault="005515D1" w:rsidP="00F86725">
            <w:pPr>
              <w:keepNext/>
              <w:rPr>
                <w:rFonts w:ascii="Calibri" w:hAnsi="Calibri" w:cs="Arial"/>
                <w:b/>
                <w:sz w:val="20"/>
                <w:szCs w:val="20"/>
              </w:rPr>
            </w:pPr>
            <w:r w:rsidRPr="001A36E3">
              <w:rPr>
                <w:rFonts w:ascii="Calibri" w:hAnsi="Calibri" w:cs="Arial"/>
                <w:b/>
                <w:sz w:val="20"/>
                <w:szCs w:val="20"/>
              </w:rPr>
              <w:t>CD4 percent threshold for eligibility</w:t>
            </w:r>
          </w:p>
        </w:tc>
        <w:tc>
          <w:tcPr>
            <w:tcW w:w="1097" w:type="dxa"/>
            <w:tcBorders>
              <w:top w:val="nil"/>
              <w:left w:val="nil"/>
              <w:bottom w:val="nil"/>
              <w:right w:val="nil"/>
            </w:tcBorders>
            <w:shd w:val="clear" w:color="auto" w:fill="auto"/>
            <w:noWrap/>
            <w:vAlign w:val="bottom"/>
          </w:tcPr>
          <w:p w:rsidR="005515D1" w:rsidRPr="001A36E3" w:rsidRDefault="005515D1" w:rsidP="00F86725">
            <w:pPr>
              <w:keepNext/>
              <w:rPr>
                <w:rFonts w:ascii="Calibri" w:hAnsi="Calibri" w:cs="Arial"/>
                <w:b/>
                <w:sz w:val="20"/>
                <w:szCs w:val="20"/>
              </w:rPr>
            </w:pPr>
          </w:p>
        </w:tc>
        <w:tc>
          <w:tcPr>
            <w:tcW w:w="1097" w:type="dxa"/>
            <w:tcBorders>
              <w:top w:val="nil"/>
              <w:left w:val="nil"/>
              <w:bottom w:val="nil"/>
              <w:right w:val="nil"/>
            </w:tcBorders>
            <w:shd w:val="clear" w:color="auto" w:fill="auto"/>
            <w:noWrap/>
            <w:vAlign w:val="bottom"/>
          </w:tcPr>
          <w:p w:rsidR="005515D1" w:rsidRPr="001A36E3" w:rsidRDefault="005515D1" w:rsidP="00F86725">
            <w:pPr>
              <w:keepNext/>
              <w:rPr>
                <w:rFonts w:ascii="Calibri" w:hAnsi="Calibri" w:cs="Arial"/>
                <w:b/>
                <w:sz w:val="20"/>
                <w:szCs w:val="20"/>
              </w:rPr>
            </w:pPr>
          </w:p>
        </w:tc>
      </w:tr>
      <w:tr w:rsidR="005515D1" w:rsidRPr="009212B1" w:rsidTr="00F86725">
        <w:trPr>
          <w:trHeight w:val="255"/>
        </w:trPr>
        <w:tc>
          <w:tcPr>
            <w:tcW w:w="5379" w:type="dxa"/>
            <w:tcBorders>
              <w:top w:val="nil"/>
              <w:left w:val="nil"/>
              <w:bottom w:val="nil"/>
              <w:right w:val="nil"/>
            </w:tcBorders>
            <w:shd w:val="clear" w:color="auto" w:fill="auto"/>
            <w:noWrap/>
            <w:vAlign w:val="bottom"/>
          </w:tcPr>
          <w:p w:rsidR="005515D1" w:rsidRPr="009212B1" w:rsidRDefault="005515D1" w:rsidP="00F86725">
            <w:pPr>
              <w:keepNext/>
              <w:rPr>
                <w:rFonts w:ascii="Calibri" w:hAnsi="Calibri" w:cs="Arial"/>
                <w:sz w:val="20"/>
                <w:szCs w:val="20"/>
              </w:rPr>
            </w:pPr>
            <w:r w:rsidRPr="009212B1">
              <w:rPr>
                <w:rFonts w:ascii="Calibri" w:hAnsi="Calibri" w:cs="Arial"/>
                <w:sz w:val="20"/>
                <w:szCs w:val="20"/>
              </w:rPr>
              <w:t>Age &lt; 11 months</w:t>
            </w:r>
          </w:p>
        </w:tc>
        <w:tc>
          <w:tcPr>
            <w:tcW w:w="1097" w:type="dxa"/>
            <w:tcBorders>
              <w:top w:val="nil"/>
              <w:left w:val="nil"/>
              <w:bottom w:val="nil"/>
              <w:right w:val="nil"/>
            </w:tcBorders>
            <w:shd w:val="clear" w:color="auto" w:fill="auto"/>
            <w:noWrap/>
            <w:vAlign w:val="bottom"/>
          </w:tcPr>
          <w:p w:rsidR="005515D1" w:rsidRPr="009212B1" w:rsidRDefault="005515D1" w:rsidP="00F86725">
            <w:pPr>
              <w:keepNext/>
              <w:jc w:val="right"/>
              <w:rPr>
                <w:rFonts w:ascii="Calibri" w:hAnsi="Calibri" w:cs="Arial"/>
                <w:sz w:val="20"/>
                <w:szCs w:val="20"/>
              </w:rPr>
            </w:pPr>
            <w:r w:rsidRPr="009212B1">
              <w:rPr>
                <w:rFonts w:ascii="Calibri" w:hAnsi="Calibri" w:cs="Arial"/>
                <w:sz w:val="20"/>
                <w:szCs w:val="20"/>
              </w:rPr>
              <w:t>25</w:t>
            </w:r>
          </w:p>
        </w:tc>
        <w:tc>
          <w:tcPr>
            <w:tcW w:w="1097" w:type="dxa"/>
            <w:tcBorders>
              <w:top w:val="nil"/>
              <w:left w:val="nil"/>
              <w:bottom w:val="nil"/>
              <w:right w:val="nil"/>
            </w:tcBorders>
            <w:shd w:val="clear" w:color="auto" w:fill="auto"/>
            <w:noWrap/>
            <w:vAlign w:val="bottom"/>
          </w:tcPr>
          <w:p w:rsidR="005515D1" w:rsidRPr="009212B1" w:rsidRDefault="005515D1" w:rsidP="00F86725">
            <w:pPr>
              <w:keepNext/>
              <w:jc w:val="right"/>
              <w:rPr>
                <w:rFonts w:ascii="Calibri" w:hAnsi="Calibri" w:cs="Arial"/>
                <w:sz w:val="20"/>
                <w:szCs w:val="20"/>
              </w:rPr>
            </w:pPr>
            <w:r w:rsidRPr="009212B1">
              <w:rPr>
                <w:rFonts w:ascii="Calibri" w:hAnsi="Calibri" w:cs="Arial"/>
                <w:sz w:val="20"/>
                <w:szCs w:val="20"/>
              </w:rPr>
              <w:t>25</w:t>
            </w:r>
          </w:p>
        </w:tc>
        <w:tc>
          <w:tcPr>
            <w:tcW w:w="1097" w:type="dxa"/>
            <w:tcBorders>
              <w:top w:val="nil"/>
              <w:left w:val="nil"/>
              <w:bottom w:val="nil"/>
              <w:right w:val="nil"/>
            </w:tcBorders>
            <w:shd w:val="clear" w:color="auto" w:fill="auto"/>
            <w:noWrap/>
            <w:vAlign w:val="bottom"/>
          </w:tcPr>
          <w:p w:rsidR="005515D1" w:rsidRPr="009212B1" w:rsidRDefault="005515D1" w:rsidP="00F86725">
            <w:pPr>
              <w:keepNext/>
              <w:jc w:val="right"/>
              <w:rPr>
                <w:rFonts w:ascii="Calibri" w:hAnsi="Calibri" w:cs="Arial"/>
                <w:sz w:val="20"/>
                <w:szCs w:val="20"/>
              </w:rPr>
            </w:pPr>
            <w:r w:rsidRPr="009212B1">
              <w:rPr>
                <w:rFonts w:ascii="Calibri" w:hAnsi="Calibri" w:cs="Arial"/>
                <w:sz w:val="20"/>
                <w:szCs w:val="20"/>
              </w:rPr>
              <w:t>25</w:t>
            </w:r>
          </w:p>
        </w:tc>
      </w:tr>
      <w:tr w:rsidR="005515D1" w:rsidRPr="009212B1" w:rsidTr="00F86725">
        <w:trPr>
          <w:trHeight w:val="255"/>
        </w:trPr>
        <w:tc>
          <w:tcPr>
            <w:tcW w:w="5379" w:type="dxa"/>
            <w:tcBorders>
              <w:top w:val="nil"/>
              <w:left w:val="nil"/>
              <w:bottom w:val="nil"/>
              <w:right w:val="nil"/>
            </w:tcBorders>
            <w:shd w:val="clear" w:color="auto" w:fill="auto"/>
            <w:noWrap/>
            <w:vAlign w:val="bottom"/>
          </w:tcPr>
          <w:p w:rsidR="005515D1" w:rsidRPr="009212B1" w:rsidRDefault="005515D1" w:rsidP="00F86725">
            <w:pPr>
              <w:keepNext/>
              <w:rPr>
                <w:rFonts w:ascii="Calibri" w:hAnsi="Calibri" w:cs="Arial"/>
                <w:sz w:val="20"/>
                <w:szCs w:val="20"/>
              </w:rPr>
            </w:pPr>
            <w:r w:rsidRPr="009212B1">
              <w:rPr>
                <w:rFonts w:ascii="Calibri" w:hAnsi="Calibri" w:cs="Arial"/>
                <w:sz w:val="20"/>
                <w:szCs w:val="20"/>
              </w:rPr>
              <w:t>Age 12-35 months</w:t>
            </w:r>
          </w:p>
        </w:tc>
        <w:tc>
          <w:tcPr>
            <w:tcW w:w="1097" w:type="dxa"/>
            <w:tcBorders>
              <w:top w:val="nil"/>
              <w:left w:val="nil"/>
              <w:bottom w:val="nil"/>
              <w:right w:val="nil"/>
            </w:tcBorders>
            <w:shd w:val="clear" w:color="auto" w:fill="auto"/>
            <w:noWrap/>
            <w:vAlign w:val="bottom"/>
          </w:tcPr>
          <w:p w:rsidR="005515D1" w:rsidRPr="009212B1" w:rsidRDefault="005515D1" w:rsidP="00F86725">
            <w:pPr>
              <w:keepNext/>
              <w:jc w:val="right"/>
              <w:rPr>
                <w:rFonts w:ascii="Calibri" w:hAnsi="Calibri" w:cs="Arial"/>
                <w:sz w:val="20"/>
                <w:szCs w:val="20"/>
              </w:rPr>
            </w:pPr>
            <w:r w:rsidRPr="009212B1">
              <w:rPr>
                <w:rFonts w:ascii="Calibri" w:hAnsi="Calibri" w:cs="Arial"/>
                <w:sz w:val="20"/>
                <w:szCs w:val="20"/>
              </w:rPr>
              <w:t>25</w:t>
            </w:r>
          </w:p>
        </w:tc>
        <w:tc>
          <w:tcPr>
            <w:tcW w:w="1097" w:type="dxa"/>
            <w:tcBorders>
              <w:top w:val="nil"/>
              <w:left w:val="nil"/>
              <w:bottom w:val="nil"/>
              <w:right w:val="nil"/>
            </w:tcBorders>
            <w:shd w:val="clear" w:color="auto" w:fill="auto"/>
            <w:noWrap/>
            <w:vAlign w:val="bottom"/>
          </w:tcPr>
          <w:p w:rsidR="005515D1" w:rsidRPr="009212B1" w:rsidRDefault="005515D1" w:rsidP="00F86725">
            <w:pPr>
              <w:keepNext/>
              <w:jc w:val="right"/>
              <w:rPr>
                <w:rFonts w:ascii="Calibri" w:hAnsi="Calibri" w:cs="Arial"/>
                <w:sz w:val="20"/>
                <w:szCs w:val="20"/>
              </w:rPr>
            </w:pPr>
            <w:r w:rsidRPr="009212B1">
              <w:rPr>
                <w:rFonts w:ascii="Calibri" w:hAnsi="Calibri" w:cs="Arial"/>
                <w:sz w:val="20"/>
                <w:szCs w:val="20"/>
              </w:rPr>
              <w:t>25</w:t>
            </w:r>
          </w:p>
        </w:tc>
        <w:tc>
          <w:tcPr>
            <w:tcW w:w="1097" w:type="dxa"/>
            <w:tcBorders>
              <w:top w:val="nil"/>
              <w:left w:val="nil"/>
              <w:bottom w:val="nil"/>
              <w:right w:val="nil"/>
            </w:tcBorders>
            <w:shd w:val="clear" w:color="auto" w:fill="auto"/>
            <w:noWrap/>
            <w:vAlign w:val="bottom"/>
          </w:tcPr>
          <w:p w:rsidR="005515D1" w:rsidRPr="009212B1" w:rsidRDefault="005515D1" w:rsidP="00F86725">
            <w:pPr>
              <w:keepNext/>
              <w:jc w:val="right"/>
              <w:rPr>
                <w:rFonts w:ascii="Calibri" w:hAnsi="Calibri" w:cs="Arial"/>
                <w:sz w:val="20"/>
                <w:szCs w:val="20"/>
              </w:rPr>
            </w:pPr>
            <w:r w:rsidRPr="009212B1">
              <w:rPr>
                <w:rFonts w:ascii="Calibri" w:hAnsi="Calibri" w:cs="Arial"/>
                <w:sz w:val="20"/>
                <w:szCs w:val="20"/>
              </w:rPr>
              <w:t>25</w:t>
            </w:r>
          </w:p>
        </w:tc>
      </w:tr>
      <w:tr w:rsidR="005515D1" w:rsidRPr="009212B1" w:rsidTr="00F86725">
        <w:trPr>
          <w:trHeight w:val="255"/>
        </w:trPr>
        <w:tc>
          <w:tcPr>
            <w:tcW w:w="5379" w:type="dxa"/>
            <w:tcBorders>
              <w:top w:val="nil"/>
              <w:left w:val="nil"/>
              <w:right w:val="nil"/>
            </w:tcBorders>
            <w:shd w:val="clear" w:color="auto" w:fill="auto"/>
            <w:noWrap/>
            <w:vAlign w:val="bottom"/>
          </w:tcPr>
          <w:p w:rsidR="005515D1" w:rsidRPr="009212B1" w:rsidRDefault="005515D1" w:rsidP="00F86725">
            <w:pPr>
              <w:keepNext/>
              <w:rPr>
                <w:rFonts w:ascii="Calibri" w:hAnsi="Calibri" w:cs="Arial"/>
                <w:sz w:val="20"/>
                <w:szCs w:val="20"/>
              </w:rPr>
            </w:pPr>
            <w:r w:rsidRPr="009212B1">
              <w:rPr>
                <w:rFonts w:ascii="Calibri" w:hAnsi="Calibri" w:cs="Arial"/>
                <w:sz w:val="20"/>
                <w:szCs w:val="20"/>
              </w:rPr>
              <w:t>Age 35-59 months</w:t>
            </w:r>
          </w:p>
        </w:tc>
        <w:tc>
          <w:tcPr>
            <w:tcW w:w="1097" w:type="dxa"/>
            <w:tcBorders>
              <w:top w:val="nil"/>
              <w:left w:val="nil"/>
              <w:right w:val="nil"/>
            </w:tcBorders>
            <w:shd w:val="clear" w:color="auto" w:fill="auto"/>
            <w:noWrap/>
            <w:vAlign w:val="bottom"/>
          </w:tcPr>
          <w:p w:rsidR="005515D1" w:rsidRPr="009212B1" w:rsidRDefault="005515D1" w:rsidP="00F86725">
            <w:pPr>
              <w:keepNext/>
              <w:jc w:val="right"/>
              <w:rPr>
                <w:rFonts w:ascii="Calibri" w:hAnsi="Calibri" w:cs="Arial"/>
                <w:sz w:val="20"/>
                <w:szCs w:val="20"/>
              </w:rPr>
            </w:pPr>
            <w:r w:rsidRPr="009212B1">
              <w:rPr>
                <w:rFonts w:ascii="Calibri" w:hAnsi="Calibri" w:cs="Arial"/>
                <w:sz w:val="20"/>
                <w:szCs w:val="20"/>
              </w:rPr>
              <w:t>25</w:t>
            </w:r>
          </w:p>
        </w:tc>
        <w:tc>
          <w:tcPr>
            <w:tcW w:w="1097" w:type="dxa"/>
            <w:tcBorders>
              <w:top w:val="nil"/>
              <w:left w:val="nil"/>
              <w:right w:val="nil"/>
            </w:tcBorders>
            <w:shd w:val="clear" w:color="auto" w:fill="auto"/>
            <w:noWrap/>
            <w:vAlign w:val="bottom"/>
          </w:tcPr>
          <w:p w:rsidR="005515D1" w:rsidRPr="009212B1" w:rsidRDefault="005515D1" w:rsidP="00F86725">
            <w:pPr>
              <w:keepNext/>
              <w:jc w:val="right"/>
              <w:rPr>
                <w:rFonts w:ascii="Calibri" w:hAnsi="Calibri" w:cs="Arial"/>
                <w:sz w:val="20"/>
                <w:szCs w:val="20"/>
              </w:rPr>
            </w:pPr>
            <w:r w:rsidRPr="009212B1">
              <w:rPr>
                <w:rFonts w:ascii="Calibri" w:hAnsi="Calibri" w:cs="Arial"/>
                <w:sz w:val="20"/>
                <w:szCs w:val="20"/>
              </w:rPr>
              <w:t>25</w:t>
            </w:r>
          </w:p>
        </w:tc>
        <w:tc>
          <w:tcPr>
            <w:tcW w:w="1097" w:type="dxa"/>
            <w:tcBorders>
              <w:top w:val="nil"/>
              <w:left w:val="nil"/>
              <w:right w:val="nil"/>
            </w:tcBorders>
            <w:shd w:val="clear" w:color="auto" w:fill="auto"/>
            <w:noWrap/>
            <w:vAlign w:val="bottom"/>
          </w:tcPr>
          <w:p w:rsidR="005515D1" w:rsidRPr="009212B1" w:rsidRDefault="005515D1" w:rsidP="00F86725">
            <w:pPr>
              <w:keepNext/>
              <w:jc w:val="right"/>
              <w:rPr>
                <w:rFonts w:ascii="Calibri" w:hAnsi="Calibri" w:cs="Arial"/>
                <w:sz w:val="20"/>
                <w:szCs w:val="20"/>
              </w:rPr>
            </w:pPr>
            <w:r w:rsidRPr="009212B1">
              <w:rPr>
                <w:rFonts w:ascii="Calibri" w:hAnsi="Calibri" w:cs="Arial"/>
                <w:sz w:val="20"/>
                <w:szCs w:val="20"/>
              </w:rPr>
              <w:t>25</w:t>
            </w:r>
          </w:p>
        </w:tc>
      </w:tr>
      <w:tr w:rsidR="005515D1" w:rsidRPr="009212B1" w:rsidTr="00F86725">
        <w:trPr>
          <w:trHeight w:val="255"/>
        </w:trPr>
        <w:tc>
          <w:tcPr>
            <w:tcW w:w="5379" w:type="dxa"/>
            <w:tcBorders>
              <w:top w:val="nil"/>
              <w:left w:val="nil"/>
              <w:bottom w:val="single" w:sz="4" w:space="0" w:color="auto"/>
              <w:right w:val="nil"/>
            </w:tcBorders>
            <w:shd w:val="clear" w:color="auto" w:fill="auto"/>
            <w:noWrap/>
            <w:vAlign w:val="bottom"/>
          </w:tcPr>
          <w:p w:rsidR="005515D1" w:rsidRPr="009212B1" w:rsidRDefault="005515D1" w:rsidP="00F86725">
            <w:pPr>
              <w:keepNext/>
              <w:rPr>
                <w:rFonts w:ascii="Calibri" w:hAnsi="Calibri" w:cs="Arial"/>
                <w:sz w:val="20"/>
                <w:szCs w:val="20"/>
              </w:rPr>
            </w:pPr>
            <w:r w:rsidRPr="009212B1">
              <w:rPr>
                <w:rFonts w:ascii="Calibri" w:hAnsi="Calibri" w:cs="Arial"/>
                <w:sz w:val="20"/>
                <w:szCs w:val="20"/>
              </w:rPr>
              <w:t>Age &gt;= 5 years</w:t>
            </w:r>
          </w:p>
        </w:tc>
        <w:tc>
          <w:tcPr>
            <w:tcW w:w="1097" w:type="dxa"/>
            <w:tcBorders>
              <w:top w:val="nil"/>
              <w:left w:val="nil"/>
              <w:bottom w:val="single" w:sz="4" w:space="0" w:color="auto"/>
              <w:right w:val="nil"/>
            </w:tcBorders>
            <w:shd w:val="clear" w:color="auto" w:fill="auto"/>
            <w:noWrap/>
            <w:vAlign w:val="bottom"/>
          </w:tcPr>
          <w:p w:rsidR="005515D1" w:rsidRPr="009212B1" w:rsidRDefault="005515D1" w:rsidP="00F86725">
            <w:pPr>
              <w:keepNext/>
              <w:jc w:val="right"/>
              <w:rPr>
                <w:rFonts w:ascii="Calibri" w:hAnsi="Calibri" w:cs="Arial"/>
                <w:sz w:val="20"/>
                <w:szCs w:val="20"/>
              </w:rPr>
            </w:pPr>
            <w:r w:rsidRPr="009212B1">
              <w:rPr>
                <w:rFonts w:ascii="Calibri" w:hAnsi="Calibri" w:cs="Arial"/>
                <w:sz w:val="20"/>
                <w:szCs w:val="20"/>
              </w:rPr>
              <w:t>15</w:t>
            </w:r>
          </w:p>
        </w:tc>
        <w:tc>
          <w:tcPr>
            <w:tcW w:w="1097" w:type="dxa"/>
            <w:tcBorders>
              <w:top w:val="nil"/>
              <w:left w:val="nil"/>
              <w:bottom w:val="single" w:sz="4" w:space="0" w:color="auto"/>
              <w:right w:val="nil"/>
            </w:tcBorders>
            <w:shd w:val="clear" w:color="auto" w:fill="auto"/>
            <w:noWrap/>
            <w:vAlign w:val="bottom"/>
          </w:tcPr>
          <w:p w:rsidR="005515D1" w:rsidRPr="009212B1" w:rsidRDefault="005515D1" w:rsidP="00F86725">
            <w:pPr>
              <w:keepNext/>
              <w:jc w:val="right"/>
              <w:rPr>
                <w:rFonts w:ascii="Calibri" w:hAnsi="Calibri" w:cs="Arial"/>
                <w:sz w:val="20"/>
                <w:szCs w:val="20"/>
              </w:rPr>
            </w:pPr>
            <w:r w:rsidRPr="009212B1">
              <w:rPr>
                <w:rFonts w:ascii="Calibri" w:hAnsi="Calibri" w:cs="Arial"/>
                <w:sz w:val="20"/>
                <w:szCs w:val="20"/>
              </w:rPr>
              <w:t>15</w:t>
            </w:r>
          </w:p>
        </w:tc>
        <w:tc>
          <w:tcPr>
            <w:tcW w:w="1097" w:type="dxa"/>
            <w:tcBorders>
              <w:top w:val="nil"/>
              <w:left w:val="nil"/>
              <w:bottom w:val="single" w:sz="4" w:space="0" w:color="auto"/>
              <w:right w:val="nil"/>
            </w:tcBorders>
            <w:shd w:val="clear" w:color="auto" w:fill="auto"/>
            <w:noWrap/>
            <w:vAlign w:val="bottom"/>
          </w:tcPr>
          <w:p w:rsidR="005515D1" w:rsidRPr="009212B1" w:rsidRDefault="005515D1" w:rsidP="00F86725">
            <w:pPr>
              <w:keepNext/>
              <w:jc w:val="right"/>
              <w:rPr>
                <w:rFonts w:ascii="Calibri" w:hAnsi="Calibri" w:cs="Arial"/>
                <w:sz w:val="20"/>
                <w:szCs w:val="20"/>
              </w:rPr>
            </w:pPr>
            <w:r w:rsidRPr="009212B1">
              <w:rPr>
                <w:rFonts w:ascii="Calibri" w:hAnsi="Calibri" w:cs="Arial"/>
                <w:sz w:val="20"/>
                <w:szCs w:val="20"/>
              </w:rPr>
              <w:t>15</w:t>
            </w:r>
          </w:p>
        </w:tc>
      </w:tr>
    </w:tbl>
    <w:p w:rsidR="005515D1" w:rsidRDefault="005515D1" w:rsidP="005515D1">
      <w:pPr>
        <w:rPr>
          <w:rFonts w:ascii="Calibri" w:hAnsi="Calibri"/>
        </w:rPr>
      </w:pPr>
    </w:p>
    <w:p w:rsidR="005515D1" w:rsidRPr="00FE5DFE" w:rsidRDefault="005515D1" w:rsidP="005515D1">
      <w:r w:rsidRPr="00FE5DFE">
        <w:t xml:space="preserve">Spectrum estimates the proportion of HIV-infected children eligible for treatment by using patterns of the distribution of HIV-infected children by CD4 count or CD4 percent. These patterns were derived from the HIV </w:t>
      </w:r>
      <w:proofErr w:type="spellStart"/>
      <w:r w:rsidRPr="00FE5DFE">
        <w:t>Paediatric</w:t>
      </w:r>
      <w:proofErr w:type="spellEnd"/>
      <w:r w:rsidRPr="00FE5DFE">
        <w:t xml:space="preserve"> Prognostic Markers Collaborative Study (HPPMCS) which took place in western countries before ART was available. The study included a meta-analysis of individual longitudinal data on 3,941 HIV-1 infected children enrolled in cohort studies and randomized control trials in the </w:t>
      </w:r>
      <w:smartTag w:uri="urn:schemas-microsoft-com:office:smarttags" w:element="country-region">
        <w:r w:rsidRPr="00FE5DFE">
          <w:t>USA</w:t>
        </w:r>
      </w:smartTag>
      <w:r w:rsidRPr="00FE5DFE">
        <w:t xml:space="preserve"> and </w:t>
      </w:r>
      <w:smartTag w:uri="urn:schemas-microsoft-com:office:smarttags" w:element="place">
        <w:r w:rsidRPr="00FE5DFE">
          <w:t>Europe</w:t>
        </w:r>
      </w:smartTag>
      <w:r w:rsidRPr="00FE5DFE">
        <w:t>. Care was taken to avoid using the same children in multiple studies</w:t>
      </w:r>
      <w:r w:rsidR="0013301A">
        <w:rPr>
          <w:rStyle w:val="FootnoteReference"/>
        </w:rPr>
        <w:footnoteReference w:id="5"/>
      </w:r>
      <w:r w:rsidRPr="00FE5DFE">
        <w:t>.</w:t>
      </w:r>
      <w:r w:rsidR="0013301A" w:rsidRPr="00FE5DFE">
        <w:t xml:space="preserve"> </w:t>
      </w:r>
    </w:p>
    <w:p w:rsidR="005515D1" w:rsidRPr="00FE5DFE" w:rsidRDefault="005515D1" w:rsidP="005515D1"/>
    <w:p w:rsidR="005515D1" w:rsidRPr="00FE5DFE" w:rsidRDefault="005515D1" w:rsidP="005515D1">
      <w:r w:rsidRPr="00FE5DFE">
        <w:t xml:space="preserve">The distribution of CD4 count and percentage CD4+ from HPPMCS provide a basis by which to progress children from birth to need for treatment in the Spectrum model. All HIV-infected children less than one year old are assigned the CD4 distributions from the HPPMCS. The patterns in Figure 2 were used to calculate the proportion of HIV-infected children at each age and CD4 category that remain in the same CD4 category the following year or drop down to a lower CD4 category. Thus, Spectrum reproduces these patterns in the absence of ART and the number of children eligible for ART at any age can be easily determined based on the country-specific eligibility criteria. As ART coverage increases children are drawn from the eligible categories leaving an altered distribution of HIV-infected children who are not on ART.  </w:t>
      </w:r>
    </w:p>
    <w:p w:rsidR="0013301A" w:rsidRDefault="0013301A">
      <w:pPr>
        <w:spacing w:after="200" w:line="276" w:lineRule="auto"/>
        <w:rPr>
          <w:rFonts w:ascii="Calibri" w:hAnsi="Calibri"/>
        </w:rPr>
      </w:pPr>
      <w:r>
        <w:rPr>
          <w:rFonts w:ascii="Calibri" w:hAnsi="Calibri"/>
        </w:rPr>
        <w:br w:type="page"/>
      </w:r>
    </w:p>
    <w:p w:rsidR="005515D1" w:rsidRDefault="0013301A" w:rsidP="005515D1">
      <w:pPr>
        <w:rPr>
          <w:rFonts w:ascii="Calibri" w:hAnsi="Calibri"/>
        </w:rPr>
      </w:pPr>
      <w:proofErr w:type="gramStart"/>
      <w:r>
        <w:rPr>
          <w:rFonts w:ascii="Calibri" w:hAnsi="Calibri"/>
        </w:rPr>
        <w:lastRenderedPageBreak/>
        <w:t>Figure 2a.</w:t>
      </w:r>
      <w:proofErr w:type="gramEnd"/>
      <w:r>
        <w:rPr>
          <w:rFonts w:ascii="Calibri" w:hAnsi="Calibri"/>
        </w:rPr>
        <w:t xml:space="preserve"> Distribution of HIV+ Children by CD4 Percent and Age</w:t>
      </w:r>
    </w:p>
    <w:p w:rsidR="0013301A" w:rsidRDefault="0013301A" w:rsidP="005515D1">
      <w:pPr>
        <w:rPr>
          <w:rFonts w:ascii="Calibri" w:hAnsi="Calibri"/>
        </w:rPr>
      </w:pPr>
      <w:r w:rsidRPr="0013301A">
        <w:rPr>
          <w:noProof/>
          <w:lang w:eastAsia="zh-CN"/>
        </w:rPr>
        <w:drawing>
          <wp:inline distT="0" distB="0" distL="0" distR="0">
            <wp:extent cx="5943600" cy="301838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43600" cy="3018380"/>
                    </a:xfrm>
                    <a:prstGeom prst="rect">
                      <a:avLst/>
                    </a:prstGeom>
                    <a:noFill/>
                    <a:ln w="9525">
                      <a:noFill/>
                      <a:miter lim="800000"/>
                      <a:headEnd/>
                      <a:tailEnd/>
                    </a:ln>
                  </pic:spPr>
                </pic:pic>
              </a:graphicData>
            </a:graphic>
          </wp:inline>
        </w:drawing>
      </w:r>
    </w:p>
    <w:p w:rsidR="0013301A" w:rsidRDefault="0013301A" w:rsidP="005515D1">
      <w:pPr>
        <w:rPr>
          <w:rFonts w:ascii="Calibri" w:hAnsi="Calibri"/>
        </w:rPr>
      </w:pPr>
    </w:p>
    <w:p w:rsidR="0013301A" w:rsidRDefault="0013301A" w:rsidP="005515D1">
      <w:pPr>
        <w:rPr>
          <w:rFonts w:ascii="Calibri" w:hAnsi="Calibri"/>
        </w:rPr>
      </w:pPr>
    </w:p>
    <w:p w:rsidR="0013301A" w:rsidRDefault="0013301A" w:rsidP="0013301A">
      <w:pPr>
        <w:rPr>
          <w:rFonts w:ascii="Calibri" w:hAnsi="Calibri"/>
        </w:rPr>
      </w:pPr>
      <w:proofErr w:type="gramStart"/>
      <w:r>
        <w:rPr>
          <w:rFonts w:ascii="Calibri" w:hAnsi="Calibri"/>
        </w:rPr>
        <w:t>Figure 2b.</w:t>
      </w:r>
      <w:proofErr w:type="gramEnd"/>
      <w:r>
        <w:rPr>
          <w:rFonts w:ascii="Calibri" w:hAnsi="Calibri"/>
        </w:rPr>
        <w:t xml:space="preserve"> Distribution of HIV+ Children by CD4 Count and Age</w:t>
      </w:r>
    </w:p>
    <w:p w:rsidR="0013301A" w:rsidRDefault="0013301A" w:rsidP="0013301A">
      <w:pPr>
        <w:rPr>
          <w:rFonts w:ascii="Calibri" w:hAnsi="Calibri"/>
        </w:rPr>
      </w:pPr>
      <w:r w:rsidRPr="0013301A">
        <w:rPr>
          <w:noProof/>
          <w:lang w:eastAsia="zh-CN"/>
        </w:rPr>
        <w:drawing>
          <wp:inline distT="0" distB="0" distL="0" distR="0">
            <wp:extent cx="5943600" cy="301838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943600" cy="3018380"/>
                    </a:xfrm>
                    <a:prstGeom prst="rect">
                      <a:avLst/>
                    </a:prstGeom>
                    <a:noFill/>
                    <a:ln w="9525">
                      <a:noFill/>
                      <a:miter lim="800000"/>
                      <a:headEnd/>
                      <a:tailEnd/>
                    </a:ln>
                  </pic:spPr>
                </pic:pic>
              </a:graphicData>
            </a:graphic>
          </wp:inline>
        </w:drawing>
      </w:r>
    </w:p>
    <w:p w:rsidR="0013301A" w:rsidRDefault="0013301A" w:rsidP="005515D1">
      <w:pPr>
        <w:rPr>
          <w:rFonts w:ascii="Calibri" w:hAnsi="Calibri"/>
        </w:rPr>
      </w:pPr>
    </w:p>
    <w:p w:rsidR="0013301A" w:rsidRDefault="0013301A" w:rsidP="005515D1">
      <w:pPr>
        <w:rPr>
          <w:rFonts w:ascii="Calibri" w:hAnsi="Calibri"/>
        </w:rPr>
      </w:pPr>
    </w:p>
    <w:p w:rsidR="0013301A" w:rsidRDefault="0013301A" w:rsidP="005515D1">
      <w:pPr>
        <w:rPr>
          <w:rFonts w:ascii="Calibri" w:hAnsi="Calibri"/>
        </w:rPr>
      </w:pPr>
    </w:p>
    <w:p w:rsidR="0013301A" w:rsidRDefault="0013301A" w:rsidP="005515D1">
      <w:pPr>
        <w:rPr>
          <w:rFonts w:ascii="Calibri" w:hAnsi="Calibri"/>
        </w:rPr>
      </w:pPr>
    </w:p>
    <w:p w:rsidR="0013301A" w:rsidRDefault="0013301A" w:rsidP="005515D1">
      <w:pPr>
        <w:rPr>
          <w:rFonts w:ascii="Calibri" w:hAnsi="Calibri"/>
        </w:rPr>
      </w:pPr>
    </w:p>
    <w:p w:rsidR="0013301A" w:rsidRDefault="0013301A" w:rsidP="005515D1">
      <w:pPr>
        <w:rPr>
          <w:rFonts w:ascii="Calibri" w:hAnsi="Calibri"/>
        </w:rPr>
      </w:pPr>
    </w:p>
    <w:p w:rsidR="0013301A" w:rsidRDefault="0013301A" w:rsidP="005515D1">
      <w:pPr>
        <w:rPr>
          <w:rFonts w:ascii="Calibri" w:hAnsi="Calibri"/>
        </w:rPr>
      </w:pPr>
    </w:p>
    <w:p w:rsidR="005515D1" w:rsidRPr="00E43D99" w:rsidRDefault="005515D1" w:rsidP="005515D1">
      <w:pPr>
        <w:keepNext/>
        <w:rPr>
          <w:rFonts w:ascii="Calibri" w:hAnsi="Calibri"/>
          <w:b/>
        </w:rPr>
      </w:pPr>
      <w:r w:rsidRPr="00E43D99">
        <w:rPr>
          <w:rFonts w:ascii="Calibri" w:hAnsi="Calibri"/>
          <w:b/>
        </w:rPr>
        <w:lastRenderedPageBreak/>
        <w:t>Survival on ART</w:t>
      </w:r>
    </w:p>
    <w:p w:rsidR="005515D1" w:rsidRPr="00FE5DFE" w:rsidRDefault="005515D1" w:rsidP="005515D1">
      <w:r w:rsidRPr="00FE5DFE">
        <w:t xml:space="preserve">In 2008, Dabis and colleagues conducted a literature review on child survival on ART in lower-income countries on behalf of UNICEF. Articles were selected after screening of </w:t>
      </w:r>
      <w:proofErr w:type="spellStart"/>
      <w:r w:rsidRPr="00FE5DFE">
        <w:t>PubMed</w:t>
      </w:r>
      <w:proofErr w:type="spellEnd"/>
      <w:r w:rsidRPr="00FE5DFE">
        <w:t xml:space="preserve">/MEDLINE and Scopus up to March 2008 and abstracts of 2007-2008 international conferences. Observational cohorts, clinical trials and </w:t>
      </w:r>
      <w:proofErr w:type="spellStart"/>
      <w:r w:rsidRPr="00FE5DFE">
        <w:t>programme</w:t>
      </w:r>
      <w:proofErr w:type="spellEnd"/>
      <w:r w:rsidRPr="00FE5DFE">
        <w:t xml:space="preserve"> reports were eligible as long as they took place in lower income countries and included children on ART or on ART and </w:t>
      </w:r>
      <w:proofErr w:type="spellStart"/>
      <w:r w:rsidRPr="00FE5DFE">
        <w:t>cotrimoxazole</w:t>
      </w:r>
      <w:proofErr w:type="spellEnd"/>
      <w:r w:rsidRPr="00FE5DFE">
        <w:t xml:space="preserve">. Only studies with death as the outcome were included in this pediatric ART review update. The extracted data included patients demographic characteristics, baseline CD4 count, survival estimates and factors associated with mortality of children receiving </w:t>
      </w:r>
      <w:proofErr w:type="spellStart"/>
      <w:r w:rsidRPr="00FE5DFE">
        <w:t>cotrimoxazole</w:t>
      </w:r>
      <w:proofErr w:type="spellEnd"/>
      <w:r w:rsidRPr="00FE5DFE">
        <w:t xml:space="preserve"> and/or ART. A total of 14 prospective studies were eligible for the analysis</w:t>
      </w:r>
      <w:r w:rsidR="0013301A">
        <w:rPr>
          <w:rStyle w:val="FootnoteReference"/>
        </w:rPr>
        <w:footnoteReference w:id="6"/>
      </w:r>
      <w:r w:rsidRPr="00FE5DFE">
        <w:t xml:space="preserve">. </w:t>
      </w:r>
    </w:p>
    <w:p w:rsidR="005515D1" w:rsidRPr="00FE5DFE" w:rsidRDefault="005515D1" w:rsidP="005515D1"/>
    <w:p w:rsidR="005515D1" w:rsidRPr="00FE5DFE" w:rsidRDefault="005515D1" w:rsidP="005515D1">
      <w:r w:rsidRPr="00FE5DFE">
        <w:t>The amount of data on the survival of HIV-infected children on ART in lower and middle income countries more than doubled since a previous review that covered a period ending in December 2006</w:t>
      </w:r>
      <w:r w:rsidR="0013301A">
        <w:rPr>
          <w:rStyle w:val="FootnoteReference"/>
        </w:rPr>
        <w:footnoteReference w:id="7"/>
      </w:r>
      <w:r w:rsidRPr="00FE5DFE">
        <w:t>. Sample sizes were generally larger, exceeding 400 participants for some of the studies, thereby increasing the accuracy of the findings. Some reports allowed for the production of survival estimates up to 24 months after ART initiation.</w:t>
      </w:r>
    </w:p>
    <w:p w:rsidR="005515D1" w:rsidRPr="00FE5DFE" w:rsidRDefault="005515D1" w:rsidP="005515D1"/>
    <w:p w:rsidR="005515D1" w:rsidRPr="00FE5DFE" w:rsidRDefault="005515D1" w:rsidP="005515D1">
      <w:r w:rsidRPr="00FE5DFE">
        <w:t xml:space="preserve">The authors concluded that the probability that infants survive the first year of treatment was estimated to be 0.93-0.95 and survival until two years was estimated to be 0.91-0.92. The authors estimated that the provision of </w:t>
      </w:r>
      <w:proofErr w:type="spellStart"/>
      <w:r w:rsidRPr="00FE5DFE">
        <w:t>cotrimoxazole</w:t>
      </w:r>
      <w:proofErr w:type="spellEnd"/>
      <w:r w:rsidRPr="00FE5DFE">
        <w:t xml:space="preserve"> along with ART additionally reduced mortality of approximately 32% in the first year, 16% in the second year, and 8% in the third year.  </w:t>
      </w:r>
    </w:p>
    <w:p w:rsidR="005515D1" w:rsidRDefault="005515D1" w:rsidP="005515D1">
      <w:pPr>
        <w:rPr>
          <w:rFonts w:ascii="Calibri" w:hAnsi="Calibri"/>
          <w:highlight w:val="yellow"/>
        </w:rPr>
      </w:pPr>
    </w:p>
    <w:p w:rsidR="005515D1" w:rsidRPr="00E43D99" w:rsidRDefault="005515D1" w:rsidP="005515D1">
      <w:pPr>
        <w:keepNext/>
        <w:rPr>
          <w:rFonts w:ascii="Calibri" w:hAnsi="Calibri"/>
          <w:b/>
        </w:rPr>
      </w:pPr>
      <w:r w:rsidRPr="00E43D99">
        <w:rPr>
          <w:rFonts w:ascii="Calibri" w:hAnsi="Calibri"/>
          <w:b/>
        </w:rPr>
        <w:t>Loss to follow-up</w:t>
      </w:r>
      <w:r>
        <w:rPr>
          <w:rFonts w:ascii="Calibri" w:hAnsi="Calibri"/>
          <w:b/>
        </w:rPr>
        <w:t xml:space="preserve"> on ART</w:t>
      </w:r>
    </w:p>
    <w:p w:rsidR="005515D1" w:rsidRPr="00FE5DFE" w:rsidRDefault="005515D1" w:rsidP="005515D1">
      <w:r w:rsidRPr="00FE5DFE">
        <w:t xml:space="preserve">The above study also compiled available data on loss to follow-up among children. Very little data were available at the time of finalizing the Spectrum model. Rough estimates were thus incorporated in the model.  The model assumes that an estimated 10% of children were lost to follow-up and among those, 50% were expected to have died within one year. A recently conducted comparative analysis of loss to follow-up data of children on ART by region of the world indicated that the 18-month crude probability of loss to follow-up was 5.6% in Asia, 17.8% in East Africa, 23.2% in Southern Africa and 24.3% in West Africa (p&lt;0.0001). This study was performed on 15,113 children on ART in the context of the </w:t>
      </w:r>
      <w:proofErr w:type="spellStart"/>
      <w:r w:rsidRPr="00FE5DFE">
        <w:t>IeDEA</w:t>
      </w:r>
      <w:proofErr w:type="spellEnd"/>
      <w:r w:rsidRPr="00FE5DFE">
        <w:t xml:space="preserve"> initiative</w:t>
      </w:r>
      <w:r w:rsidR="0013301A">
        <w:rPr>
          <w:rStyle w:val="FootnoteReference"/>
        </w:rPr>
        <w:footnoteReference w:id="8"/>
      </w:r>
      <w:r w:rsidRPr="00FE5DFE">
        <w:t>.</w:t>
      </w:r>
    </w:p>
    <w:p w:rsidR="005515D1" w:rsidRPr="00FE5DFE" w:rsidRDefault="005515D1" w:rsidP="005515D1"/>
    <w:p w:rsidR="005515D1" w:rsidRPr="00FE5DFE" w:rsidRDefault="005515D1" w:rsidP="005515D1">
      <w:r w:rsidRPr="00FE5DFE">
        <w:t xml:space="preserve">After adjusting for the reduced mortality due to the use of </w:t>
      </w:r>
      <w:proofErr w:type="spellStart"/>
      <w:r w:rsidRPr="00FE5DFE">
        <w:t>cotrimoxazole</w:t>
      </w:r>
      <w:proofErr w:type="spellEnd"/>
      <w:r w:rsidRPr="00FE5DFE">
        <w:t>, the estimated survival among those children who started on ART was 85% in the first year on ART and 93% for subsequent years.</w:t>
      </w:r>
    </w:p>
    <w:p w:rsidR="005515D1" w:rsidRDefault="005515D1" w:rsidP="005515D1">
      <w:pPr>
        <w:rPr>
          <w:rFonts w:ascii="Calibri" w:hAnsi="Calibri"/>
        </w:rPr>
      </w:pPr>
    </w:p>
    <w:p w:rsidR="004C6CFB" w:rsidRDefault="004C6CFB" w:rsidP="004C6CFB"/>
    <w:p w:rsidR="004C6CFB" w:rsidRDefault="004C6CFB"/>
    <w:sectPr w:rsidR="004C6CFB" w:rsidSect="00ED698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7BD" w:rsidRDefault="001247BD" w:rsidP="004C6CFB">
      <w:r>
        <w:separator/>
      </w:r>
    </w:p>
  </w:endnote>
  <w:endnote w:type="continuationSeparator" w:id="0">
    <w:p w:rsidR="001247BD" w:rsidRDefault="001247BD" w:rsidP="004C6C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7BD" w:rsidRDefault="001247BD" w:rsidP="004C6CFB">
      <w:r>
        <w:separator/>
      </w:r>
    </w:p>
  </w:footnote>
  <w:footnote w:type="continuationSeparator" w:id="0">
    <w:p w:rsidR="001247BD" w:rsidRDefault="001247BD" w:rsidP="004C6CFB">
      <w:r>
        <w:continuationSeparator/>
      </w:r>
    </w:p>
  </w:footnote>
  <w:footnote w:id="1">
    <w:p w:rsidR="004C6CFB" w:rsidRDefault="004C6CFB">
      <w:pPr>
        <w:pStyle w:val="FootnoteText"/>
      </w:pPr>
      <w:r>
        <w:rPr>
          <w:rStyle w:val="FootnoteReference"/>
        </w:rPr>
        <w:footnoteRef/>
      </w:r>
      <w:r>
        <w:t xml:space="preserve"> </w:t>
      </w:r>
      <w:proofErr w:type="spellStart"/>
      <w:r w:rsidRPr="004C6CFB">
        <w:t>Becquet</w:t>
      </w:r>
      <w:proofErr w:type="spellEnd"/>
      <w:r w:rsidRPr="004C6CFB">
        <w:t xml:space="preserve"> R and UNAIDS Child Survival Working Group. Survival of Children HIV-infected </w:t>
      </w:r>
      <w:proofErr w:type="spellStart"/>
      <w:proofErr w:type="gramStart"/>
      <w:r w:rsidRPr="004C6CFB">
        <w:t>Perinatally</w:t>
      </w:r>
      <w:proofErr w:type="spellEnd"/>
      <w:proofErr w:type="gramEnd"/>
      <w:r w:rsidRPr="004C6CFB">
        <w:t xml:space="preserve"> or Through Breastfeeding. </w:t>
      </w:r>
      <w:proofErr w:type="gramStart"/>
      <w:r w:rsidRPr="004C6CFB">
        <w:t>A Pooled Analysis of Individual Data from Sub-Saharan Africa.</w:t>
      </w:r>
      <w:proofErr w:type="gramEnd"/>
      <w:r w:rsidRPr="004C6CFB">
        <w:t xml:space="preserve"> </w:t>
      </w:r>
      <w:proofErr w:type="gramStart"/>
      <w:r w:rsidRPr="004C6CFB">
        <w:t>The 17th Conference on Retroviruses and Opportunistic Infections, San Francisco, USA, 2010.</w:t>
      </w:r>
      <w:proofErr w:type="gramEnd"/>
      <w:r w:rsidRPr="004C6CFB">
        <w:t xml:space="preserve"> </w:t>
      </w:r>
      <w:proofErr w:type="gramStart"/>
      <w:r w:rsidRPr="004C6CFB">
        <w:t>Paper # 840 (http://www.retroconference.org/2010/PDFs/840.pdf).</w:t>
      </w:r>
      <w:proofErr w:type="gramEnd"/>
    </w:p>
  </w:footnote>
  <w:footnote w:id="2">
    <w:p w:rsidR="0082218E" w:rsidRPr="0082218E" w:rsidRDefault="0082218E">
      <w:pPr>
        <w:pStyle w:val="FootnoteText"/>
      </w:pPr>
      <w:r>
        <w:rPr>
          <w:rStyle w:val="FootnoteReference"/>
        </w:rPr>
        <w:footnoteRef/>
      </w:r>
      <w:r>
        <w:t xml:space="preserve"> Marston M, </w:t>
      </w:r>
      <w:proofErr w:type="spellStart"/>
      <w:r>
        <w:t>Becquet</w:t>
      </w:r>
      <w:proofErr w:type="spellEnd"/>
      <w:r>
        <w:t xml:space="preserve"> R, Zaba B, Moulton LH, Gray G, </w:t>
      </w:r>
      <w:proofErr w:type="spellStart"/>
      <w:r>
        <w:t>Coovadia</w:t>
      </w:r>
      <w:proofErr w:type="spellEnd"/>
      <w:r>
        <w:t xml:space="preserve"> H, </w:t>
      </w:r>
      <w:r>
        <w:rPr>
          <w:i/>
        </w:rPr>
        <w:t>et al.</w:t>
      </w:r>
      <w:r>
        <w:rPr>
          <w:rFonts w:asciiTheme="minorEastAsia" w:eastAsiaTheme="minorEastAsia" w:hAnsiTheme="minorEastAsia"/>
          <w:lang w:eastAsia="zh-CN"/>
        </w:rPr>
        <w:t xml:space="preserve"> </w:t>
      </w:r>
      <w:r w:rsidRPr="0082218E">
        <w:t xml:space="preserve">Net survival </w:t>
      </w:r>
      <w:r>
        <w:t xml:space="preserve">of </w:t>
      </w:r>
      <w:proofErr w:type="spellStart"/>
      <w:r>
        <w:t>perinatallly</w:t>
      </w:r>
      <w:proofErr w:type="spellEnd"/>
      <w:r>
        <w:t xml:space="preserve"> and </w:t>
      </w:r>
      <w:proofErr w:type="spellStart"/>
      <w:r>
        <w:t>postnatally</w:t>
      </w:r>
      <w:proofErr w:type="spellEnd"/>
      <w:r>
        <w:t xml:space="preserve"> HIV-infected children: a pooled analysis of individual data from sub-Saharan Africa, forthcoming.</w:t>
      </w:r>
    </w:p>
  </w:footnote>
  <w:footnote w:id="3">
    <w:p w:rsidR="00FE5DFE" w:rsidRPr="00FE5DFE" w:rsidRDefault="00FE5DFE">
      <w:pPr>
        <w:pStyle w:val="FootnoteText"/>
      </w:pPr>
      <w:r>
        <w:rPr>
          <w:rStyle w:val="FootnoteReference"/>
        </w:rPr>
        <w:footnoteRef/>
      </w:r>
      <w:r>
        <w:t xml:space="preserve"> Mahy M, Lewden C, Brinkhof M, Dabis F, Tassie JM, Souteyrand Y, Stover J. Derivation of parameters used in Spectrum for eligibility for antiretroviral therapy and survival on antiretroviral therapy </w:t>
      </w:r>
      <w:r>
        <w:rPr>
          <w:i/>
        </w:rPr>
        <w:t>Sec Trans Infect</w:t>
      </w:r>
      <w:r>
        <w:t xml:space="preserve"> 2010 86: ii28-ii34 </w:t>
      </w:r>
      <w:proofErr w:type="spellStart"/>
      <w:r>
        <w:t>doi</w:t>
      </w:r>
      <w:proofErr w:type="spellEnd"/>
      <w:r>
        <w:t>: 10.1136/sti.2010.044255.</w:t>
      </w:r>
    </w:p>
  </w:footnote>
  <w:footnote w:id="4">
    <w:p w:rsidR="00FE5DFE" w:rsidRDefault="00FE5DFE">
      <w:pPr>
        <w:pStyle w:val="FootnoteText"/>
      </w:pPr>
      <w:r>
        <w:rPr>
          <w:rStyle w:val="FootnoteReference"/>
        </w:rPr>
        <w:footnoteRef/>
      </w:r>
      <w:r>
        <w:t xml:space="preserve"> </w:t>
      </w:r>
      <w:proofErr w:type="spellStart"/>
      <w:proofErr w:type="gramStart"/>
      <w:r w:rsidRPr="00FE5DFE">
        <w:t>Wold</w:t>
      </w:r>
      <w:proofErr w:type="spellEnd"/>
      <w:r w:rsidRPr="00FE5DFE">
        <w:t xml:space="preserve"> Health Organization.</w:t>
      </w:r>
      <w:proofErr w:type="gramEnd"/>
      <w:r w:rsidRPr="00FE5DFE">
        <w:t xml:space="preserve"> Antiretroviral Therapy of HIV Infection in Infants and Children: Recommendations for a public health approach. Geneva: World Health Organization, 2010. http://www.who.int/hiv/pub/guidelines/paediatric020907.pdf. Accessed on: 16 August 2010</w:t>
      </w:r>
    </w:p>
  </w:footnote>
  <w:footnote w:id="5">
    <w:p w:rsidR="0013301A" w:rsidRDefault="0013301A">
      <w:pPr>
        <w:pStyle w:val="FootnoteText"/>
      </w:pPr>
      <w:r>
        <w:rPr>
          <w:rStyle w:val="FootnoteReference"/>
        </w:rPr>
        <w:footnoteRef/>
      </w:r>
      <w:r>
        <w:t xml:space="preserve"> </w:t>
      </w:r>
      <w:r w:rsidRPr="0013301A">
        <w:t xml:space="preserve">Dunn D. Short-term risk of disease progression in HIV-1-infected children receiving no antiretroviral therapy or </w:t>
      </w:r>
      <w:proofErr w:type="spellStart"/>
      <w:r w:rsidRPr="0013301A">
        <w:t>zidovudine</w:t>
      </w:r>
      <w:proofErr w:type="spellEnd"/>
      <w:r w:rsidRPr="0013301A">
        <w:t xml:space="preserve"> </w:t>
      </w:r>
      <w:proofErr w:type="spellStart"/>
      <w:r w:rsidRPr="0013301A">
        <w:t>monotherapy</w:t>
      </w:r>
      <w:proofErr w:type="spellEnd"/>
      <w:r w:rsidRPr="0013301A">
        <w:t>: a meta-analysis. Lancet 2003</w:t>
      </w:r>
      <w:proofErr w:type="gramStart"/>
      <w:r w:rsidRPr="0013301A">
        <w:t>;362</w:t>
      </w:r>
      <w:proofErr w:type="gramEnd"/>
      <w:r w:rsidRPr="0013301A">
        <w:t>(9396):1605-11.</w:t>
      </w:r>
    </w:p>
  </w:footnote>
  <w:footnote w:id="6">
    <w:p w:rsidR="0013301A" w:rsidRDefault="0013301A">
      <w:pPr>
        <w:pStyle w:val="FootnoteText"/>
      </w:pPr>
      <w:r>
        <w:rPr>
          <w:rStyle w:val="FootnoteReference"/>
        </w:rPr>
        <w:footnoteRef/>
      </w:r>
      <w:r>
        <w:t xml:space="preserve"> </w:t>
      </w:r>
      <w:proofErr w:type="gramStart"/>
      <w:r w:rsidRPr="0013301A">
        <w:t>UNAIDS, World Health Organization, UNICEF.</w:t>
      </w:r>
      <w:proofErr w:type="gramEnd"/>
      <w:r w:rsidRPr="0013301A">
        <w:t xml:space="preserve"> </w:t>
      </w:r>
      <w:proofErr w:type="gramStart"/>
      <w:r w:rsidRPr="0013301A">
        <w:t>Consultative meeting on Data Collection and Estimation Methods Related to HIV Infection in Infants and Children.</w:t>
      </w:r>
      <w:proofErr w:type="gramEnd"/>
      <w:r w:rsidRPr="0013301A">
        <w:t xml:space="preserve"> New York: UNICEF, 2008. http://www.epidem.org/Publications/UNAIDS_UNICEF_Paediatric%20HIV%20Report_9%20Dec%202008_Final.pdf. Accessed on: 18 March 2010</w:t>
      </w:r>
    </w:p>
  </w:footnote>
  <w:footnote w:id="7">
    <w:p w:rsidR="0013301A" w:rsidRDefault="0013301A">
      <w:pPr>
        <w:pStyle w:val="FootnoteText"/>
      </w:pPr>
      <w:r>
        <w:rPr>
          <w:rStyle w:val="FootnoteReference"/>
        </w:rPr>
        <w:footnoteRef/>
      </w:r>
      <w:r>
        <w:t xml:space="preserve"> </w:t>
      </w:r>
      <w:proofErr w:type="spellStart"/>
      <w:r w:rsidRPr="0013301A">
        <w:t>Coffie</w:t>
      </w:r>
      <w:proofErr w:type="spellEnd"/>
      <w:r w:rsidRPr="0013301A">
        <w:t xml:space="preserve"> P, </w:t>
      </w:r>
      <w:proofErr w:type="spellStart"/>
      <w:r w:rsidRPr="0013301A">
        <w:t>Moh</w:t>
      </w:r>
      <w:proofErr w:type="spellEnd"/>
      <w:r w:rsidRPr="0013301A">
        <w:t xml:space="preserve"> R, </w:t>
      </w:r>
      <w:proofErr w:type="spellStart"/>
      <w:r w:rsidRPr="0013301A">
        <w:t>Ekouevi</w:t>
      </w:r>
      <w:proofErr w:type="spellEnd"/>
      <w:r w:rsidRPr="0013301A">
        <w:t xml:space="preserve"> DK, et al. Survival of HIV-infected adults and children on antiretroviral therapy in low and middle-incomes countries. Bordeaux: </w:t>
      </w:r>
      <w:proofErr w:type="spellStart"/>
      <w:r w:rsidRPr="0013301A">
        <w:t>Institut</w:t>
      </w:r>
      <w:proofErr w:type="spellEnd"/>
      <w:r w:rsidRPr="0013301A">
        <w:t xml:space="preserve"> de Santé </w:t>
      </w:r>
      <w:proofErr w:type="spellStart"/>
      <w:r w:rsidRPr="0013301A">
        <w:t>Publique</w:t>
      </w:r>
      <w:proofErr w:type="spellEnd"/>
      <w:r w:rsidRPr="0013301A">
        <w:t xml:space="preserve">, </w:t>
      </w:r>
      <w:proofErr w:type="spellStart"/>
      <w:r w:rsidRPr="0013301A">
        <w:t>Epidémiologie</w:t>
      </w:r>
      <w:proofErr w:type="spellEnd"/>
      <w:r w:rsidRPr="0013301A">
        <w:t xml:space="preserve"> </w:t>
      </w:r>
      <w:proofErr w:type="gramStart"/>
      <w:r w:rsidRPr="0013301A">
        <w:t>et</w:t>
      </w:r>
      <w:proofErr w:type="gramEnd"/>
      <w:r w:rsidRPr="0013301A">
        <w:t xml:space="preserve"> </w:t>
      </w:r>
      <w:proofErr w:type="spellStart"/>
      <w:r w:rsidRPr="0013301A">
        <w:t>Développement</w:t>
      </w:r>
      <w:proofErr w:type="spellEnd"/>
      <w:r w:rsidRPr="0013301A">
        <w:t xml:space="preserve"> (ISPED) </w:t>
      </w:r>
      <w:proofErr w:type="spellStart"/>
      <w:r w:rsidRPr="0013301A">
        <w:t>Université</w:t>
      </w:r>
      <w:proofErr w:type="spellEnd"/>
      <w:r w:rsidRPr="0013301A">
        <w:t xml:space="preserve"> Victor </w:t>
      </w:r>
      <w:proofErr w:type="spellStart"/>
      <w:r w:rsidRPr="0013301A">
        <w:t>Segalen</w:t>
      </w:r>
      <w:proofErr w:type="spellEnd"/>
      <w:r w:rsidRPr="0013301A">
        <w:t xml:space="preserve"> 2007.</w:t>
      </w:r>
    </w:p>
  </w:footnote>
  <w:footnote w:id="8">
    <w:p w:rsidR="0013301A" w:rsidRDefault="0013301A" w:rsidP="0013301A">
      <w:pPr>
        <w:pStyle w:val="FootnoteText"/>
      </w:pPr>
      <w:r>
        <w:rPr>
          <w:rStyle w:val="FootnoteReference"/>
        </w:rPr>
        <w:footnoteRef/>
      </w:r>
      <w:r>
        <w:t xml:space="preserve"> Leroy V, </w:t>
      </w:r>
      <w:proofErr w:type="spellStart"/>
      <w:r>
        <w:t>Malateste</w:t>
      </w:r>
      <w:proofErr w:type="spellEnd"/>
      <w:r>
        <w:t xml:space="preserve"> K, </w:t>
      </w:r>
      <w:proofErr w:type="spellStart"/>
      <w:r>
        <w:t>Rabie</w:t>
      </w:r>
      <w:proofErr w:type="spellEnd"/>
      <w:r>
        <w:t xml:space="preserve"> H. 18-Month mortality and loss to follow-up in </w:t>
      </w:r>
      <w:proofErr w:type="spellStart"/>
      <w:r>
        <w:t>ARTtreated</w:t>
      </w:r>
      <w:proofErr w:type="spellEnd"/>
      <w:r>
        <w:t xml:space="preserve"> children in Asia and Africa. </w:t>
      </w:r>
      <w:proofErr w:type="spellStart"/>
      <w:r>
        <w:t>XVIIIth</w:t>
      </w:r>
      <w:proofErr w:type="spellEnd"/>
      <w:r>
        <w:t xml:space="preserve"> International AIDS Conference, Vienna, Austria, 18-23 July, 2010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4C6CFB"/>
    <w:rsid w:val="001247BD"/>
    <w:rsid w:val="0013301A"/>
    <w:rsid w:val="001C3891"/>
    <w:rsid w:val="002B0E08"/>
    <w:rsid w:val="003763D2"/>
    <w:rsid w:val="00407AA2"/>
    <w:rsid w:val="00436DB9"/>
    <w:rsid w:val="004C6CFB"/>
    <w:rsid w:val="005515D1"/>
    <w:rsid w:val="00573978"/>
    <w:rsid w:val="00616CAE"/>
    <w:rsid w:val="006D68D8"/>
    <w:rsid w:val="00803094"/>
    <w:rsid w:val="00805ECE"/>
    <w:rsid w:val="0082218E"/>
    <w:rsid w:val="00843C03"/>
    <w:rsid w:val="00843EEC"/>
    <w:rsid w:val="00927320"/>
    <w:rsid w:val="009A74B6"/>
    <w:rsid w:val="00A8456E"/>
    <w:rsid w:val="00A952EC"/>
    <w:rsid w:val="00AA6997"/>
    <w:rsid w:val="00D219D5"/>
    <w:rsid w:val="00D87A95"/>
    <w:rsid w:val="00E26B2F"/>
    <w:rsid w:val="00E31ADF"/>
    <w:rsid w:val="00E84DB0"/>
    <w:rsid w:val="00ED698E"/>
    <w:rsid w:val="00FA01FB"/>
    <w:rsid w:val="00FE5D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FB"/>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5515D1"/>
    <w:pPr>
      <w:keepNext/>
      <w:keepLines/>
      <w:spacing w:before="48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unhideWhenUsed/>
    <w:qFormat/>
    <w:rsid w:val="00805EC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C6CFB"/>
    <w:rPr>
      <w:sz w:val="20"/>
      <w:szCs w:val="20"/>
    </w:rPr>
  </w:style>
  <w:style w:type="character" w:customStyle="1" w:styleId="FootnoteTextChar">
    <w:name w:val="Footnote Text Char"/>
    <w:basedOn w:val="DefaultParagraphFont"/>
    <w:link w:val="FootnoteText"/>
    <w:uiPriority w:val="99"/>
    <w:semiHidden/>
    <w:rsid w:val="004C6CFB"/>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4C6CFB"/>
    <w:rPr>
      <w:vertAlign w:val="superscript"/>
    </w:rPr>
  </w:style>
  <w:style w:type="paragraph" w:styleId="BalloonText">
    <w:name w:val="Balloon Text"/>
    <w:basedOn w:val="Normal"/>
    <w:link w:val="BalloonTextChar"/>
    <w:uiPriority w:val="99"/>
    <w:semiHidden/>
    <w:unhideWhenUsed/>
    <w:rsid w:val="0082218E"/>
    <w:rPr>
      <w:rFonts w:ascii="Tahoma" w:hAnsi="Tahoma" w:cs="Tahoma"/>
      <w:sz w:val="16"/>
      <w:szCs w:val="16"/>
    </w:rPr>
  </w:style>
  <w:style w:type="character" w:customStyle="1" w:styleId="BalloonTextChar">
    <w:name w:val="Balloon Text Char"/>
    <w:basedOn w:val="DefaultParagraphFont"/>
    <w:link w:val="BalloonText"/>
    <w:uiPriority w:val="99"/>
    <w:semiHidden/>
    <w:rsid w:val="0082218E"/>
    <w:rPr>
      <w:rFonts w:ascii="Tahoma" w:eastAsia="Times New Roman" w:hAnsi="Tahoma" w:cs="Tahoma"/>
      <w:sz w:val="16"/>
      <w:szCs w:val="16"/>
      <w:lang w:eastAsia="en-US"/>
    </w:rPr>
  </w:style>
  <w:style w:type="character" w:customStyle="1" w:styleId="Heading1Char">
    <w:name w:val="Heading 1 Char"/>
    <w:basedOn w:val="DefaultParagraphFont"/>
    <w:link w:val="Heading1"/>
    <w:rsid w:val="005515D1"/>
    <w:rPr>
      <w:rFonts w:ascii="Cambria" w:eastAsia="SimSun" w:hAnsi="Cambria" w:cs="Times New Roman"/>
      <w:b/>
      <w:bCs/>
      <w:color w:val="365F91"/>
      <w:sz w:val="28"/>
      <w:szCs w:val="28"/>
      <w:lang w:eastAsia="en-US"/>
    </w:rPr>
  </w:style>
  <w:style w:type="character" w:customStyle="1" w:styleId="Heading2Char">
    <w:name w:val="Heading 2 Char"/>
    <w:basedOn w:val="DefaultParagraphFont"/>
    <w:link w:val="Heading2"/>
    <w:uiPriority w:val="9"/>
    <w:rsid w:val="00805ECE"/>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5</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jstover</dc:creator>
  <cp:lastModifiedBy>jstover</cp:lastModifiedBy>
  <cp:revision>7</cp:revision>
  <dcterms:created xsi:type="dcterms:W3CDTF">2010-12-29T13:20:00Z</dcterms:created>
  <dcterms:modified xsi:type="dcterms:W3CDTF">2011-03-04T22:12:00Z</dcterms:modified>
</cp:coreProperties>
</file>