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8E" w:rsidRDefault="00E93DE7" w:rsidP="00E93DE7">
      <w:pPr>
        <w:pStyle w:val="Heading1"/>
      </w:pPr>
      <w:r>
        <w:t>CD4 Model of HIV and ART in Spectrum</w:t>
      </w:r>
    </w:p>
    <w:p w:rsidR="00E93DE7" w:rsidRDefault="00E93DE7" w:rsidP="00E93DE7"/>
    <w:p w:rsidR="00E93DE7" w:rsidRDefault="008C19F5" w:rsidP="00E93DE7">
      <w:r>
        <w:t>March 10, 2011</w:t>
      </w:r>
    </w:p>
    <w:p w:rsidR="00E93DE7" w:rsidRDefault="00E93DE7" w:rsidP="00E93DE7"/>
    <w:p w:rsidR="00E93DE7" w:rsidRDefault="00E93DE7" w:rsidP="00E93DE7">
      <w:pPr>
        <w:pStyle w:val="Heading2"/>
      </w:pPr>
      <w:r>
        <w:t>Background</w:t>
      </w:r>
    </w:p>
    <w:p w:rsidR="00E93DE7" w:rsidRDefault="00E93DE7" w:rsidP="00E93DE7">
      <w:r>
        <w:t>Early versions of Spectrum modeled the progression from new HIV infection to AIDS death in the absence of treatment as a single Weibull function that described the proportion dying by time since infection. The need for treatment was estimated as those within three years of death.</w:t>
      </w:r>
    </w:p>
    <w:p w:rsidR="00E93DE7" w:rsidRPr="00E93DE7" w:rsidRDefault="00E93DE7" w:rsidP="00E93DE7">
      <w:r w:rsidRPr="00E93DE7">
        <w:rPr>
          <w:noProof/>
        </w:rPr>
        <w:drawing>
          <wp:inline distT="0" distB="0" distL="0" distR="0">
            <wp:extent cx="2828059" cy="230960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27235" cy="2308928"/>
                    </a:xfrm>
                    <a:prstGeom prst="rect">
                      <a:avLst/>
                    </a:prstGeom>
                    <a:noFill/>
                    <a:ln w="9525">
                      <a:noFill/>
                      <a:miter lim="800000"/>
                      <a:headEnd/>
                      <a:tailEnd/>
                    </a:ln>
                  </pic:spPr>
                </pic:pic>
              </a:graphicData>
            </a:graphic>
          </wp:inline>
        </w:drawing>
      </w:r>
    </w:p>
    <w:p w:rsidR="00E93DE7" w:rsidRDefault="00E93DE7" w:rsidP="00E93DE7">
      <w:r>
        <w:t xml:space="preserve">Recent versions of Spectrum have separated progression into two steps: </w:t>
      </w:r>
    </w:p>
    <w:p w:rsidR="00E93DE7" w:rsidRDefault="00E93DE7" w:rsidP="00E93DE7">
      <w:pPr>
        <w:pStyle w:val="ListParagraph"/>
        <w:numPr>
          <w:ilvl w:val="0"/>
          <w:numId w:val="1"/>
        </w:numPr>
      </w:pPr>
      <w:r>
        <w:t>Progression from new HIV infection to need for treatment</w:t>
      </w:r>
    </w:p>
    <w:p w:rsidR="00E93DE7" w:rsidRDefault="00E93DE7" w:rsidP="00E93DE7">
      <w:pPr>
        <w:pStyle w:val="ListParagraph"/>
        <w:numPr>
          <w:ilvl w:val="0"/>
          <w:numId w:val="1"/>
        </w:numPr>
      </w:pPr>
      <w:r>
        <w:t>Progression from need for treatment to AIDS death in the absence of treatment</w:t>
      </w:r>
    </w:p>
    <w:p w:rsidR="00E93DE7" w:rsidRDefault="00E93DE7" w:rsidP="00E93DE7">
      <w:r>
        <w:t>Separate Weibull progression patterns for each step were developed such that the median time to need for treatment was 8 years and the overall progression to from infection to death matched the data from the ALPHA network</w:t>
      </w:r>
      <w:r w:rsidR="008C19F5">
        <w:t xml:space="preserve"> of cohort studies</w:t>
      </w:r>
      <w:r w:rsidR="008C19F5">
        <w:rPr>
          <w:rStyle w:val="FootnoteReference"/>
        </w:rPr>
        <w:footnoteReference w:id="1"/>
      </w:r>
      <w:r>
        <w:t>.</w:t>
      </w:r>
    </w:p>
    <w:p w:rsidR="00E93DE7" w:rsidRDefault="00E93DE7" w:rsidP="00E93DE7">
      <w:r w:rsidRPr="00E93DE7">
        <w:rPr>
          <w:noProof/>
        </w:rPr>
        <w:lastRenderedPageBreak/>
        <w:drawing>
          <wp:inline distT="0" distB="0" distL="0" distR="0">
            <wp:extent cx="5943600" cy="243501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3600" cy="2435011"/>
                    </a:xfrm>
                    <a:prstGeom prst="rect">
                      <a:avLst/>
                    </a:prstGeom>
                    <a:noFill/>
                    <a:ln w="9525">
                      <a:noFill/>
                      <a:miter lim="800000"/>
                      <a:headEnd/>
                      <a:tailEnd/>
                    </a:ln>
                  </pic:spPr>
                </pic:pic>
              </a:graphicData>
            </a:graphic>
          </wp:inline>
        </w:drawing>
      </w:r>
    </w:p>
    <w:p w:rsidR="00E93DE7" w:rsidRDefault="00E93DE7" w:rsidP="00E93DE7"/>
    <w:p w:rsidR="00922482" w:rsidRDefault="00922482" w:rsidP="00922482">
      <w:r>
        <w:t xml:space="preserve">This approach worked well as long as </w:t>
      </w:r>
      <w:r w:rsidR="00D15DFD">
        <w:t>the criterion</w:t>
      </w:r>
      <w:r>
        <w:t xml:space="preserve"> for eligibility for treatment did not change. Once programs started changing eligibility from counts under 200 CD4 cell/</w:t>
      </w:r>
      <w:proofErr w:type="spellStart"/>
      <w:r>
        <w:rPr>
          <w:rFonts w:cs="Times New Roman"/>
        </w:rPr>
        <w:t>μ</w:t>
      </w:r>
      <w:r>
        <w:t>l</w:t>
      </w:r>
      <w:proofErr w:type="spellEnd"/>
      <w:r>
        <w:t xml:space="preserve"> this approach no longer worked well. We did develop alternative patterns for eligibility at 250 and 350. However this approach did </w:t>
      </w:r>
      <w:r w:rsidR="00D15DFD">
        <w:t xml:space="preserve">not </w:t>
      </w:r>
      <w:r>
        <w:t xml:space="preserve">work well when switching from one pattern to the next. Although Spectrum could easily calculate the number of people in need under the new criteria, those newly in need because of the change in criteria were exposed to an immediate risk of death, whereas they had no chance of death under the old criteria until they progressed to need. As a result the number of deaths increased when the eligibility criteria changed. </w:t>
      </w:r>
    </w:p>
    <w:p w:rsidR="00922482" w:rsidRDefault="00922482" w:rsidP="00922482"/>
    <w:p w:rsidR="00922482" w:rsidRDefault="00922482" w:rsidP="00922482">
      <w:pPr>
        <w:pStyle w:val="Heading2"/>
      </w:pPr>
      <w:r>
        <w:t>CD Model for Estimating Need for Treatment and Progression to AIDS Death</w:t>
      </w:r>
    </w:p>
    <w:p w:rsidR="00922482" w:rsidRDefault="00922482" w:rsidP="00922482"/>
    <w:p w:rsidR="00922482" w:rsidRDefault="00922482" w:rsidP="00922482">
      <w:r>
        <w:t xml:space="preserve">In response to these issues we </w:t>
      </w:r>
      <w:r w:rsidR="008C19F5">
        <w:t xml:space="preserve">have </w:t>
      </w:r>
      <w:r>
        <w:t>switch</w:t>
      </w:r>
      <w:r w:rsidR="008C19F5">
        <w:t>ed</w:t>
      </w:r>
      <w:r>
        <w:t xml:space="preserve"> to a CD4 compartment model. The major advantage of this approach is that the number of people eligible for treatment c</w:t>
      </w:r>
      <w:r w:rsidR="00D15DFD">
        <w:t>an</w:t>
      </w:r>
      <w:r>
        <w:t xml:space="preserve"> easily be determined at an</w:t>
      </w:r>
      <w:r w:rsidR="00613E9C">
        <w:t xml:space="preserve">y point in time based on the CD4 level for eligibility. Mortality </w:t>
      </w:r>
      <w:r w:rsidR="008C19F5">
        <w:t>is</w:t>
      </w:r>
      <w:r w:rsidR="00613E9C">
        <w:t xml:space="preserve"> not be affected by changes in criteria and the </w:t>
      </w:r>
      <w:r w:rsidR="008C19F5">
        <w:t xml:space="preserve">eligibility </w:t>
      </w:r>
      <w:r w:rsidR="00613E9C">
        <w:t>criteria c</w:t>
      </w:r>
      <w:r w:rsidR="008C19F5">
        <w:t>an</w:t>
      </w:r>
      <w:r w:rsidR="00613E9C">
        <w:t xml:space="preserve"> change many times during a projection. </w:t>
      </w:r>
    </w:p>
    <w:p w:rsidR="00613E9C" w:rsidRDefault="00613E9C" w:rsidP="00922482">
      <w:r>
        <w:t xml:space="preserve">The model structure has seven CD4 compartments as shown below. The compartments were selected on the basis of eligibility criteria and mortality patterns. To match eligibility criteria in use today we needed categories for &lt;200, &lt;250 and &lt;350. Since mortality patterns for untreated patients are very different for those &lt;50 and &lt;100 we split the &lt;200 category into &lt;50, 50-99, and 100-199. </w:t>
      </w:r>
    </w:p>
    <w:p w:rsidR="0033052E" w:rsidRDefault="0033052E" w:rsidP="0033052E">
      <w:pPr>
        <w:rPr>
          <w:rFonts w:cs="Times New Roman"/>
        </w:rPr>
      </w:pPr>
      <w:r>
        <w:lastRenderedPageBreak/>
        <w:t>The model tracks the HIV+ population by CD4 count using an approach similar to one used in South Africa recently to estimate the need for treatment</w:t>
      </w:r>
      <w:r>
        <w:rPr>
          <w:rStyle w:val="FootnoteReference"/>
        </w:rPr>
        <w:footnoteReference w:id="2"/>
      </w:r>
      <w:r>
        <w:t xml:space="preserve"> (see Figure 1). We assume that most newly infected people start with CD4 counts ab</w:t>
      </w:r>
      <w:r w:rsidR="00171402">
        <w:t xml:space="preserve">ove 500, although some portion, p, </w:t>
      </w:r>
      <w:r>
        <w:t xml:space="preserve">can start at 350-499. The transition probabilities </w:t>
      </w:r>
      <w:r>
        <w:rPr>
          <w:rFonts w:cs="Times New Roman"/>
        </w:rPr>
        <w:t>λ</w:t>
      </w:r>
      <w:r>
        <w:t xml:space="preserve">1, </w:t>
      </w:r>
      <w:r>
        <w:rPr>
          <w:rFonts w:cs="Times New Roman"/>
        </w:rPr>
        <w:t>λ</w:t>
      </w:r>
      <w:r>
        <w:t xml:space="preserve">2, </w:t>
      </w:r>
      <w:r>
        <w:rPr>
          <w:rFonts w:cs="Times New Roman"/>
        </w:rPr>
        <w:t>λ</w:t>
      </w:r>
      <w:r>
        <w:t xml:space="preserve">3, </w:t>
      </w:r>
      <w:r>
        <w:rPr>
          <w:rFonts w:cs="Times New Roman"/>
        </w:rPr>
        <w:t>λ4, λ</w:t>
      </w:r>
      <w:r>
        <w:t xml:space="preserve">5 and </w:t>
      </w:r>
      <w:r>
        <w:rPr>
          <w:rFonts w:cs="Times New Roman"/>
        </w:rPr>
        <w:t>λ6</w:t>
      </w:r>
      <w:r>
        <w:t xml:space="preserve"> represent the probability of progressing from one CD4 category to the next. In each category there is some probability of death from HIV-related causes, designated as </w:t>
      </w:r>
      <w:r>
        <w:rPr>
          <w:rFonts w:cs="Times New Roman"/>
        </w:rPr>
        <w:t>μ</w:t>
      </w:r>
      <w:r>
        <w:t xml:space="preserve">1, </w:t>
      </w:r>
      <w:r>
        <w:rPr>
          <w:rFonts w:cs="Times New Roman"/>
        </w:rPr>
        <w:t>μ</w:t>
      </w:r>
      <w:r>
        <w:t xml:space="preserve">2, </w:t>
      </w:r>
      <w:r>
        <w:rPr>
          <w:rFonts w:cs="Times New Roman"/>
        </w:rPr>
        <w:t>μ</w:t>
      </w:r>
      <w:r>
        <w:t xml:space="preserve">3, </w:t>
      </w:r>
      <w:r>
        <w:rPr>
          <w:rFonts w:cs="Times New Roman"/>
        </w:rPr>
        <w:t>μ</w:t>
      </w:r>
      <w:r>
        <w:t xml:space="preserve">4, </w:t>
      </w:r>
      <w:r>
        <w:rPr>
          <w:rFonts w:cs="Times New Roman"/>
        </w:rPr>
        <w:t>μ</w:t>
      </w:r>
      <w:r>
        <w:t xml:space="preserve">5, </w:t>
      </w:r>
      <w:r>
        <w:rPr>
          <w:rFonts w:cs="Times New Roman"/>
        </w:rPr>
        <w:t>μ</w:t>
      </w:r>
      <w:r>
        <w:t xml:space="preserve">6 and </w:t>
      </w:r>
      <w:r>
        <w:rPr>
          <w:rFonts w:cs="Times New Roman"/>
        </w:rPr>
        <w:t>μ7</w:t>
      </w:r>
      <w:r>
        <w:t xml:space="preserve"> as well as a chance of death from non-AIDS causes, </w:t>
      </w:r>
      <w:r>
        <w:rPr>
          <w:rFonts w:cs="Times New Roman"/>
        </w:rPr>
        <w:t>μ0 (not shown in the figure). The probability of HIV-related death increases as CD4 counts decrease.</w:t>
      </w:r>
    </w:p>
    <w:p w:rsidR="0033052E" w:rsidRDefault="0033052E" w:rsidP="0033052E">
      <w:pPr>
        <w:rPr>
          <w:rFonts w:cs="Times New Roman"/>
        </w:rPr>
      </w:pPr>
      <w:r>
        <w:rPr>
          <w:rFonts w:cs="Times New Roman"/>
        </w:rPr>
        <w:t xml:space="preserve">The number of people in the different CD4 count categories represents the HIV-infected population that is not on ART. The number of people eligible for treatment is the number in each CD4 count category that is below the recommended level for initiating ART. </w:t>
      </w:r>
    </w:p>
    <w:p w:rsidR="0033052E" w:rsidRDefault="0033052E" w:rsidP="0033052E">
      <w:pPr>
        <w:rPr>
          <w:rFonts w:cs="Times New Roman"/>
        </w:rPr>
      </w:pPr>
      <w:r>
        <w:rPr>
          <w:rFonts w:cs="Times New Roman"/>
        </w:rPr>
        <w:t>Depending on the eligibility criterion and the level of first line ART coverage, a percentage of those eligible for treatment will start first line ART (c1, c2, c3, c4, c5, c6, c7). Those on ART are categorized by their CD4 count at the initiation of treatment. The model does not track the temporal decline of CD4 counts of those on treatment. Those on first line ART have a probability of failure depending on their CD4 count at initiation, α1, α2, α3, α4, α5, α6 and α7.</w:t>
      </w:r>
    </w:p>
    <w:p w:rsidR="0033052E" w:rsidRDefault="0033052E" w:rsidP="0033052E">
      <w:pPr>
        <w:rPr>
          <w:rFonts w:cs="Times New Roman"/>
        </w:rPr>
      </w:pPr>
      <w:r>
        <w:rPr>
          <w:rFonts w:cs="Times New Roman"/>
        </w:rPr>
        <w:t xml:space="preserve">The number starting ART each year is determined by the assumed coverage and the number of people in the eligible for treatment. We assume that those starting on ART will be distributed among the eligible CD4 categories such that an equal percentage of people in each eligible CD4 category initiate treatment. </w:t>
      </w:r>
    </w:p>
    <w:p w:rsidR="00613E9C" w:rsidRDefault="00613E9C">
      <w:r>
        <w:br w:type="page"/>
      </w:r>
    </w:p>
    <w:p w:rsidR="00613E9C" w:rsidRDefault="00613E9C" w:rsidP="00922482"/>
    <w:p w:rsidR="00613E9C" w:rsidRDefault="0033052E" w:rsidP="00922482">
      <w:r w:rsidRPr="0033052E">
        <w:drawing>
          <wp:inline distT="0" distB="0" distL="0" distR="0">
            <wp:extent cx="5943600" cy="2058632"/>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2058632"/>
                    </a:xfrm>
                    <a:prstGeom prst="rect">
                      <a:avLst/>
                    </a:prstGeom>
                    <a:noFill/>
                    <a:ln w="9525">
                      <a:noFill/>
                      <a:miter lim="800000"/>
                      <a:headEnd/>
                      <a:tailEnd/>
                    </a:ln>
                  </pic:spPr>
                </pic:pic>
              </a:graphicData>
            </a:graphic>
          </wp:inline>
        </w:drawing>
      </w:r>
    </w:p>
    <w:p w:rsidR="00613E9C" w:rsidRDefault="00613E9C" w:rsidP="00922482"/>
    <w:p w:rsidR="00613E9C" w:rsidRDefault="00613E9C" w:rsidP="00613E9C">
      <w:pPr>
        <w:pStyle w:val="Heading2"/>
      </w:pPr>
      <w:r>
        <w:t>Specifying Model Parameters</w:t>
      </w:r>
    </w:p>
    <w:p w:rsidR="00613E9C" w:rsidRDefault="00613E9C" w:rsidP="00613E9C"/>
    <w:p w:rsidR="00171402" w:rsidRDefault="00171402" w:rsidP="00613E9C">
      <w:r>
        <w:t>We have specified that parameter values for the model by starting with values in the published literature and then fitting the model to data from the ALPHA network. Progression from infection to death is slower for young people than older people. The ALPHA network analysis</w:t>
      </w:r>
      <w:r w:rsidRPr="00171402">
        <w:rPr>
          <w:vertAlign w:val="superscript"/>
        </w:rPr>
        <w:t>1</w:t>
      </w:r>
      <w:r>
        <w:t xml:space="preserve"> found a median time from infection to AIDS death of 12.8 years for those aged 15-24, 10.6 years for 25-34, 7.5 years for 35-44, and 56 years for 45+. They found no difference by sex once survival was adjusted for age. We have used these data to develop parameter sets for these four age groups. </w:t>
      </w:r>
    </w:p>
    <w:p w:rsidR="00A115CE" w:rsidRDefault="0048605B" w:rsidP="00613E9C">
      <w:r>
        <w:t xml:space="preserve">A recent publication by Johansson </w:t>
      </w:r>
      <w:r>
        <w:rPr>
          <w:i/>
        </w:rPr>
        <w:t xml:space="preserve">et al. </w:t>
      </w:r>
      <w:r>
        <w:t>summarizes data from 6 countries on mortality by CD4 count for those not on ART</w:t>
      </w:r>
      <w:r w:rsidR="00171402">
        <w:rPr>
          <w:rStyle w:val="FootnoteReference"/>
        </w:rPr>
        <w:footnoteReference w:id="3"/>
      </w:r>
      <w:r>
        <w:t>.</w:t>
      </w:r>
      <w:r w:rsidR="00171402">
        <w:t xml:space="preserve"> They found annual mortality of 0.8 (0.7-0.9) for those with CD4 counts &lt;50 (from one study in Thailand), 0.355 (</w:t>
      </w:r>
      <w:r w:rsidR="00112FD5">
        <w:t xml:space="preserve">0.335-0.375) for those with CD4 counts between 50 and 199 from 6 studies, and 0.109 (0.093-0.125) for those with CD4 counts between 250 and 350 from six studies. </w:t>
      </w:r>
    </w:p>
    <w:p w:rsidR="00A115CE" w:rsidRDefault="0048605B" w:rsidP="00613E9C">
      <w:r>
        <w:t>Information on the rate of CD4 cell count decline is available from a several studies, with one pro</w:t>
      </w:r>
      <w:r w:rsidR="009C4D1C">
        <w:t>viding declines by CD4 category (Table 1).</w:t>
      </w:r>
    </w:p>
    <w:p w:rsidR="009C4D1C" w:rsidRDefault="009C4D1C">
      <w:r>
        <w:br w:type="page"/>
      </w:r>
    </w:p>
    <w:p w:rsidR="009C4D1C" w:rsidRDefault="009C4D1C" w:rsidP="00613E9C">
      <w:proofErr w:type="gramStart"/>
      <w:r>
        <w:lastRenderedPageBreak/>
        <w:t>Table 1.</w:t>
      </w:r>
      <w:proofErr w:type="gramEnd"/>
      <w:r>
        <w:t xml:space="preserve"> Annual declines in CD4 count among HIV-positive adults</w:t>
      </w:r>
    </w:p>
    <w:tbl>
      <w:tblPr>
        <w:tblStyle w:val="TableGrid"/>
        <w:tblW w:w="0" w:type="auto"/>
        <w:tblLook w:val="04A0"/>
      </w:tblPr>
      <w:tblGrid>
        <w:gridCol w:w="4158"/>
        <w:gridCol w:w="2520"/>
      </w:tblGrid>
      <w:tr w:rsidR="00642B74" w:rsidTr="00202B24">
        <w:tc>
          <w:tcPr>
            <w:tcW w:w="4158" w:type="dxa"/>
          </w:tcPr>
          <w:p w:rsidR="00642B74" w:rsidRPr="002C3DC0" w:rsidRDefault="00642B74" w:rsidP="00613E9C">
            <w:pPr>
              <w:rPr>
                <w:b/>
              </w:rPr>
            </w:pPr>
            <w:r w:rsidRPr="002C3DC0">
              <w:rPr>
                <w:b/>
              </w:rPr>
              <w:t>Study</w:t>
            </w:r>
          </w:p>
        </w:tc>
        <w:tc>
          <w:tcPr>
            <w:tcW w:w="2520" w:type="dxa"/>
          </w:tcPr>
          <w:p w:rsidR="00642B74" w:rsidRPr="002C3DC0" w:rsidRDefault="00642B74" w:rsidP="00613E9C">
            <w:pPr>
              <w:rPr>
                <w:b/>
              </w:rPr>
            </w:pPr>
            <w:r w:rsidRPr="002C3DC0">
              <w:rPr>
                <w:b/>
              </w:rPr>
              <w:t>Annual Rate of Decline in CD4 Count</w:t>
            </w:r>
          </w:p>
        </w:tc>
      </w:tr>
      <w:tr w:rsidR="00642B74" w:rsidTr="00202B24">
        <w:tc>
          <w:tcPr>
            <w:tcW w:w="4158" w:type="dxa"/>
          </w:tcPr>
          <w:p w:rsidR="00642B74" w:rsidRDefault="00642B74" w:rsidP="009C4D1C">
            <w:r w:rsidRPr="00642B74">
              <w:t xml:space="preserve">CASCADE, </w:t>
            </w:r>
            <w:proofErr w:type="spellStart"/>
            <w:r w:rsidRPr="00642B74">
              <w:t>Wolbers</w:t>
            </w:r>
            <w:proofErr w:type="spellEnd"/>
            <w:r w:rsidRPr="00642B74">
              <w:t xml:space="preserve"> et al.</w:t>
            </w:r>
            <w:r w:rsidR="009C4D1C">
              <w:rPr>
                <w:rStyle w:val="FootnoteReference"/>
              </w:rPr>
              <w:footnoteReference w:id="4"/>
            </w:r>
            <w:r w:rsidR="009C4D1C">
              <w:t xml:space="preserve"> </w:t>
            </w:r>
            <w:hyperlink w:anchor="_ENREF_1" w:tooltip="Wolbers, 2010 #1" w:history="1"/>
          </w:p>
        </w:tc>
        <w:tc>
          <w:tcPr>
            <w:tcW w:w="2520" w:type="dxa"/>
          </w:tcPr>
          <w:p w:rsidR="00642B74" w:rsidRDefault="00642B74" w:rsidP="00642B74">
            <w:r>
              <w:t>61 (46-81) Fixed effects</w:t>
            </w:r>
          </w:p>
          <w:p w:rsidR="00642B74" w:rsidRDefault="00642B74" w:rsidP="00642B74">
            <w:r>
              <w:t>74 (31-145) By patient</w:t>
            </w:r>
          </w:p>
          <w:p w:rsidR="00642B74" w:rsidRDefault="00642B74" w:rsidP="00642B74">
            <w:r>
              <w:t>114 (32-229) Last 2 tests</w:t>
            </w:r>
          </w:p>
        </w:tc>
      </w:tr>
      <w:tr w:rsidR="00642B74" w:rsidTr="00202B24">
        <w:tc>
          <w:tcPr>
            <w:tcW w:w="4158" w:type="dxa"/>
          </w:tcPr>
          <w:p w:rsidR="00642B74" w:rsidRDefault="00642B74" w:rsidP="009C4D1C">
            <w:r w:rsidRPr="00642B74">
              <w:t xml:space="preserve">MACS, </w:t>
            </w:r>
            <w:proofErr w:type="spellStart"/>
            <w:r w:rsidRPr="00642B74">
              <w:t>Mellors</w:t>
            </w:r>
            <w:proofErr w:type="spellEnd"/>
            <w:r w:rsidRPr="00642B74">
              <w:t xml:space="preserve"> et al. JAMA, 2007</w:t>
            </w:r>
            <w:r w:rsidR="009C4D1C">
              <w:rPr>
                <w:rStyle w:val="FootnoteReference"/>
              </w:rPr>
              <w:footnoteReference w:id="5"/>
            </w:r>
          </w:p>
        </w:tc>
        <w:tc>
          <w:tcPr>
            <w:tcW w:w="2520" w:type="dxa"/>
          </w:tcPr>
          <w:p w:rsidR="00642B74" w:rsidRDefault="00642B74" w:rsidP="00613E9C">
            <w:r w:rsidRPr="00642B74">
              <w:t>64 (8-136)</w:t>
            </w:r>
          </w:p>
        </w:tc>
      </w:tr>
      <w:tr w:rsidR="00642B74" w:rsidTr="00202B24">
        <w:tc>
          <w:tcPr>
            <w:tcW w:w="4158" w:type="dxa"/>
          </w:tcPr>
          <w:p w:rsidR="00642B74" w:rsidRDefault="00642B74" w:rsidP="009C4D1C">
            <w:r w:rsidRPr="00642B74">
              <w:t>CNICS, SFMHS, REACH, Rodriguez et al.</w:t>
            </w:r>
            <w:r w:rsidR="009C4D1C">
              <w:rPr>
                <w:rStyle w:val="FootnoteReference"/>
              </w:rPr>
              <w:footnoteReference w:id="6"/>
            </w:r>
            <w:r w:rsidR="009C4D1C">
              <w:t xml:space="preserve"> </w:t>
            </w:r>
            <w:hyperlink w:anchor="_ENREF_1" w:tooltip="Rodriguez, 2006 #80" w:history="1"/>
            <w:hyperlink w:anchor="_ENREF_1" w:tooltip="Rodriguez, 2006 #80" w:history="1"/>
          </w:p>
        </w:tc>
        <w:tc>
          <w:tcPr>
            <w:tcW w:w="2520" w:type="dxa"/>
          </w:tcPr>
          <w:p w:rsidR="00642B74" w:rsidRDefault="00642B74" w:rsidP="00613E9C">
            <w:r w:rsidRPr="00642B74">
              <w:t>50 (46-55)</w:t>
            </w:r>
          </w:p>
        </w:tc>
      </w:tr>
      <w:tr w:rsidR="00642B74" w:rsidTr="00202B24">
        <w:tc>
          <w:tcPr>
            <w:tcW w:w="4158" w:type="dxa"/>
          </w:tcPr>
          <w:p w:rsidR="00642B74" w:rsidRDefault="00642B74" w:rsidP="009C4D1C">
            <w:r w:rsidRPr="00642B74">
              <w:t>Williams et al. JID, 2006</w:t>
            </w:r>
            <w:r w:rsidR="009C4D1C">
              <w:rPr>
                <w:rStyle w:val="FootnoteReference"/>
              </w:rPr>
              <w:footnoteReference w:id="7"/>
            </w:r>
          </w:p>
        </w:tc>
        <w:tc>
          <w:tcPr>
            <w:tcW w:w="2520" w:type="dxa"/>
          </w:tcPr>
          <w:p w:rsidR="00642B74" w:rsidRDefault="00642B74" w:rsidP="00642B74">
            <w:r>
              <w:t>85 South Africa</w:t>
            </w:r>
          </w:p>
          <w:p w:rsidR="00642B74" w:rsidRDefault="00642B74" w:rsidP="00642B74">
            <w:r>
              <w:t>65 Zambia</w:t>
            </w:r>
          </w:p>
        </w:tc>
      </w:tr>
      <w:tr w:rsidR="00642B74" w:rsidTr="00202B24">
        <w:tc>
          <w:tcPr>
            <w:tcW w:w="4158" w:type="dxa"/>
          </w:tcPr>
          <w:p w:rsidR="00642B74" w:rsidRPr="00642B74" w:rsidRDefault="00642B74" w:rsidP="009C4D1C">
            <w:r>
              <w:t>Cape Town, Holmes et al</w:t>
            </w:r>
            <w:r w:rsidR="00202B24">
              <w:t>.</w:t>
            </w:r>
            <w:r w:rsidR="009C4D1C">
              <w:rPr>
                <w:rStyle w:val="FootnoteReference"/>
              </w:rPr>
              <w:footnoteReference w:id="8"/>
            </w:r>
            <w:r w:rsidR="009C4D1C" w:rsidRPr="00642B74">
              <w:t xml:space="preserve"> </w:t>
            </w:r>
          </w:p>
        </w:tc>
        <w:tc>
          <w:tcPr>
            <w:tcW w:w="2520" w:type="dxa"/>
          </w:tcPr>
          <w:p w:rsidR="00642B74" w:rsidRDefault="00642B74" w:rsidP="00642B74">
            <w:r>
              <w:t>&gt;500:     47 (40-54)</w:t>
            </w:r>
          </w:p>
          <w:p w:rsidR="00642B74" w:rsidRDefault="00642B74" w:rsidP="00642B74">
            <w:r>
              <w:t>351-500: 31 (23-38)</w:t>
            </w:r>
          </w:p>
          <w:p w:rsidR="00642B74" w:rsidRDefault="00642B74" w:rsidP="00642B74">
            <w:r>
              <w:t>201-350: 20 (14-27)</w:t>
            </w:r>
          </w:p>
        </w:tc>
      </w:tr>
    </w:tbl>
    <w:p w:rsidR="0048605B" w:rsidRDefault="0048605B" w:rsidP="00613E9C"/>
    <w:p w:rsidR="00202B24" w:rsidRDefault="009C4D1C" w:rsidP="00613E9C">
      <w:r>
        <w:t xml:space="preserve">For this model the parameter values were determined by using the literature values as a starting point and fitting the model to Weibull curves of progression to mortality by age from the ALPHA network. We assumed that the rate of CD4 decline is constant across all categories and that mortality varies by CD4 category but not by age. The resulting parameter values are shown in Table 2. </w:t>
      </w:r>
    </w:p>
    <w:p w:rsidR="00BA4FAC" w:rsidRDefault="00BA4FAC" w:rsidP="00BA4FAC">
      <w:proofErr w:type="gramStart"/>
      <w:r>
        <w:t>Table 2.</w:t>
      </w:r>
      <w:proofErr w:type="gramEnd"/>
      <w:r>
        <w:t xml:space="preserve"> Parameters for the CD4 Category Model</w:t>
      </w:r>
    </w:p>
    <w:tbl>
      <w:tblPr>
        <w:tblStyle w:val="TableGrid"/>
        <w:tblW w:w="8298" w:type="dxa"/>
        <w:tblLook w:val="04A0"/>
      </w:tblPr>
      <w:tblGrid>
        <w:gridCol w:w="5058"/>
        <w:gridCol w:w="803"/>
        <w:gridCol w:w="778"/>
        <w:gridCol w:w="849"/>
        <w:gridCol w:w="810"/>
      </w:tblGrid>
      <w:tr w:rsidR="00BA4FAC" w:rsidTr="007F2C88">
        <w:tc>
          <w:tcPr>
            <w:tcW w:w="5058" w:type="dxa"/>
          </w:tcPr>
          <w:p w:rsidR="00BA4FAC" w:rsidRPr="00EC3C19" w:rsidRDefault="00BA4FAC" w:rsidP="007F2C88">
            <w:pPr>
              <w:rPr>
                <w:b/>
              </w:rPr>
            </w:pPr>
            <w:r w:rsidRPr="00EC3C19">
              <w:rPr>
                <w:b/>
              </w:rPr>
              <w:t>Indicator</w:t>
            </w:r>
          </w:p>
        </w:tc>
        <w:tc>
          <w:tcPr>
            <w:tcW w:w="3240" w:type="dxa"/>
            <w:gridSpan w:val="4"/>
          </w:tcPr>
          <w:p w:rsidR="00BA4FAC" w:rsidRPr="00EC3C19" w:rsidRDefault="00BA4FAC" w:rsidP="007F2C88">
            <w:pPr>
              <w:jc w:val="center"/>
              <w:rPr>
                <w:b/>
              </w:rPr>
            </w:pPr>
            <w:r w:rsidRPr="00EC3C19">
              <w:rPr>
                <w:b/>
              </w:rPr>
              <w:t>Age Group</w:t>
            </w:r>
          </w:p>
        </w:tc>
      </w:tr>
      <w:tr w:rsidR="00BA4FAC" w:rsidTr="007F2C88">
        <w:tc>
          <w:tcPr>
            <w:tcW w:w="5058" w:type="dxa"/>
          </w:tcPr>
          <w:p w:rsidR="00BA4FAC" w:rsidRDefault="00BA4FAC" w:rsidP="007F2C88"/>
        </w:tc>
        <w:tc>
          <w:tcPr>
            <w:tcW w:w="803" w:type="dxa"/>
          </w:tcPr>
          <w:p w:rsidR="00BA4FAC" w:rsidRPr="00EC3C19" w:rsidRDefault="00BA4FAC" w:rsidP="007F2C88">
            <w:pPr>
              <w:jc w:val="right"/>
              <w:rPr>
                <w:b/>
              </w:rPr>
            </w:pPr>
            <w:r w:rsidRPr="00EC3C19">
              <w:rPr>
                <w:b/>
              </w:rPr>
              <w:t>15-24</w:t>
            </w:r>
          </w:p>
        </w:tc>
        <w:tc>
          <w:tcPr>
            <w:tcW w:w="778" w:type="dxa"/>
          </w:tcPr>
          <w:p w:rsidR="00BA4FAC" w:rsidRPr="00EC3C19" w:rsidRDefault="00BA4FAC" w:rsidP="007F2C88">
            <w:pPr>
              <w:jc w:val="right"/>
              <w:rPr>
                <w:b/>
              </w:rPr>
            </w:pPr>
            <w:r w:rsidRPr="00EC3C19">
              <w:rPr>
                <w:b/>
              </w:rPr>
              <w:t>25-34</w:t>
            </w:r>
          </w:p>
        </w:tc>
        <w:tc>
          <w:tcPr>
            <w:tcW w:w="849" w:type="dxa"/>
          </w:tcPr>
          <w:p w:rsidR="00BA4FAC" w:rsidRPr="00EC3C19" w:rsidRDefault="00BA4FAC" w:rsidP="007F2C88">
            <w:pPr>
              <w:jc w:val="right"/>
              <w:rPr>
                <w:b/>
              </w:rPr>
            </w:pPr>
            <w:r w:rsidRPr="00EC3C19">
              <w:rPr>
                <w:b/>
              </w:rPr>
              <w:t>35-44</w:t>
            </w:r>
          </w:p>
        </w:tc>
        <w:tc>
          <w:tcPr>
            <w:tcW w:w="810" w:type="dxa"/>
          </w:tcPr>
          <w:p w:rsidR="00BA4FAC" w:rsidRPr="00EC3C19" w:rsidRDefault="00BA4FAC" w:rsidP="007F2C88">
            <w:pPr>
              <w:jc w:val="right"/>
              <w:rPr>
                <w:b/>
              </w:rPr>
            </w:pPr>
            <w:r w:rsidRPr="00EC3C19">
              <w:rPr>
                <w:b/>
              </w:rPr>
              <w:t>45+</w:t>
            </w:r>
          </w:p>
        </w:tc>
      </w:tr>
      <w:tr w:rsidR="00BA4FAC" w:rsidTr="007F2C88">
        <w:tc>
          <w:tcPr>
            <w:tcW w:w="5058" w:type="dxa"/>
          </w:tcPr>
          <w:p w:rsidR="00BA4FAC" w:rsidRDefault="00BA4FAC" w:rsidP="007F2C88">
            <w:r>
              <w:t>Proportion  progressing out of &gt;500 category annually</w:t>
            </w:r>
          </w:p>
        </w:tc>
        <w:tc>
          <w:tcPr>
            <w:tcW w:w="803" w:type="dxa"/>
          </w:tcPr>
          <w:p w:rsidR="00BA4FAC" w:rsidRDefault="00BA4FAC" w:rsidP="007F2C88">
            <w:pPr>
              <w:jc w:val="right"/>
            </w:pPr>
            <w:r>
              <w:t>0.125</w:t>
            </w:r>
          </w:p>
        </w:tc>
        <w:tc>
          <w:tcPr>
            <w:tcW w:w="778" w:type="dxa"/>
          </w:tcPr>
          <w:p w:rsidR="00BA4FAC" w:rsidRDefault="00BA4FAC" w:rsidP="007F2C88">
            <w:pPr>
              <w:jc w:val="right"/>
            </w:pPr>
            <w:r>
              <w:t>0.144</w:t>
            </w:r>
          </w:p>
        </w:tc>
        <w:tc>
          <w:tcPr>
            <w:tcW w:w="849" w:type="dxa"/>
          </w:tcPr>
          <w:p w:rsidR="00BA4FAC" w:rsidRDefault="00BA4FAC" w:rsidP="007F2C88">
            <w:pPr>
              <w:jc w:val="right"/>
            </w:pPr>
            <w:r>
              <w:t>0.253</w:t>
            </w:r>
          </w:p>
        </w:tc>
        <w:tc>
          <w:tcPr>
            <w:tcW w:w="810" w:type="dxa"/>
          </w:tcPr>
          <w:p w:rsidR="00BA4FAC" w:rsidRDefault="00BA4FAC" w:rsidP="007F2C88">
            <w:pPr>
              <w:jc w:val="right"/>
            </w:pPr>
            <w:r>
              <w:t>0.405</w:t>
            </w:r>
          </w:p>
        </w:tc>
      </w:tr>
      <w:tr w:rsidR="00BA4FAC" w:rsidTr="007F2C88">
        <w:tc>
          <w:tcPr>
            <w:tcW w:w="5058" w:type="dxa"/>
          </w:tcPr>
          <w:p w:rsidR="00BA4FAC" w:rsidRDefault="00BA4FAC" w:rsidP="007F2C88">
            <w:r>
              <w:t>Rate of CD4 count decline (cells/</w:t>
            </w:r>
            <w:r>
              <w:rPr>
                <w:rFonts w:cs="Times New Roman"/>
              </w:rPr>
              <w:t>µ</w:t>
            </w:r>
            <w:r>
              <w:t>l)</w:t>
            </w:r>
          </w:p>
        </w:tc>
        <w:tc>
          <w:tcPr>
            <w:tcW w:w="803" w:type="dxa"/>
          </w:tcPr>
          <w:p w:rsidR="00BA4FAC" w:rsidRDefault="00BA4FAC" w:rsidP="007F2C88">
            <w:pPr>
              <w:jc w:val="right"/>
            </w:pPr>
            <w:r>
              <w:t>45</w:t>
            </w:r>
          </w:p>
        </w:tc>
        <w:tc>
          <w:tcPr>
            <w:tcW w:w="778" w:type="dxa"/>
          </w:tcPr>
          <w:p w:rsidR="00BA4FAC" w:rsidRDefault="00BA4FAC" w:rsidP="007F2C88">
            <w:pPr>
              <w:jc w:val="right"/>
            </w:pPr>
            <w:r>
              <w:t>62</w:t>
            </w:r>
          </w:p>
        </w:tc>
        <w:tc>
          <w:tcPr>
            <w:tcW w:w="849" w:type="dxa"/>
          </w:tcPr>
          <w:p w:rsidR="00BA4FAC" w:rsidRDefault="00BA4FAC" w:rsidP="007F2C88">
            <w:pPr>
              <w:jc w:val="right"/>
            </w:pPr>
            <w:r>
              <w:t>98</w:t>
            </w:r>
          </w:p>
        </w:tc>
        <w:tc>
          <w:tcPr>
            <w:tcW w:w="810" w:type="dxa"/>
          </w:tcPr>
          <w:p w:rsidR="00BA4FAC" w:rsidRDefault="00BA4FAC" w:rsidP="007F2C88">
            <w:pPr>
              <w:jc w:val="right"/>
            </w:pPr>
            <w:r>
              <w:t>59</w:t>
            </w:r>
          </w:p>
        </w:tc>
      </w:tr>
      <w:tr w:rsidR="00BA4FAC" w:rsidTr="007F2C88">
        <w:tc>
          <w:tcPr>
            <w:tcW w:w="5058" w:type="dxa"/>
          </w:tcPr>
          <w:p w:rsidR="00BA4FAC" w:rsidRDefault="00BA4FAC" w:rsidP="007F2C88">
            <w:r>
              <w:t>Mortality &lt;50 cells/</w:t>
            </w:r>
            <w:r>
              <w:rPr>
                <w:rFonts w:cs="Times New Roman"/>
              </w:rPr>
              <w:t>µ</w:t>
            </w:r>
            <w:r>
              <w:t>l</w:t>
            </w:r>
          </w:p>
        </w:tc>
        <w:tc>
          <w:tcPr>
            <w:tcW w:w="803" w:type="dxa"/>
          </w:tcPr>
          <w:p w:rsidR="00BA4FAC" w:rsidRDefault="00BA4FAC" w:rsidP="007F2C88">
            <w:pPr>
              <w:jc w:val="right"/>
            </w:pPr>
            <w:r>
              <w:t>0.44</w:t>
            </w:r>
          </w:p>
        </w:tc>
        <w:tc>
          <w:tcPr>
            <w:tcW w:w="778" w:type="dxa"/>
          </w:tcPr>
          <w:p w:rsidR="00BA4FAC" w:rsidRDefault="00BA4FAC" w:rsidP="007F2C88">
            <w:pPr>
              <w:jc w:val="right"/>
            </w:pPr>
            <w:r>
              <w:t>0.44</w:t>
            </w:r>
          </w:p>
        </w:tc>
        <w:tc>
          <w:tcPr>
            <w:tcW w:w="849" w:type="dxa"/>
          </w:tcPr>
          <w:p w:rsidR="00BA4FAC" w:rsidRDefault="00BA4FAC" w:rsidP="007F2C88">
            <w:pPr>
              <w:jc w:val="right"/>
            </w:pPr>
            <w:r>
              <w:t>0.44</w:t>
            </w:r>
          </w:p>
        </w:tc>
        <w:tc>
          <w:tcPr>
            <w:tcW w:w="810" w:type="dxa"/>
          </w:tcPr>
          <w:p w:rsidR="00BA4FAC" w:rsidRDefault="00BA4FAC" w:rsidP="007F2C88">
            <w:pPr>
              <w:jc w:val="right"/>
            </w:pPr>
            <w:r>
              <w:t>0.44</w:t>
            </w:r>
          </w:p>
        </w:tc>
      </w:tr>
      <w:tr w:rsidR="00BA4FAC" w:rsidTr="007F2C88">
        <w:tc>
          <w:tcPr>
            <w:tcW w:w="5058" w:type="dxa"/>
          </w:tcPr>
          <w:p w:rsidR="00BA4FAC" w:rsidRDefault="00BA4FAC" w:rsidP="007F2C88">
            <w:r>
              <w:t>Mortality 50-99 cells/</w:t>
            </w:r>
            <w:r>
              <w:rPr>
                <w:rFonts w:cs="Times New Roman"/>
              </w:rPr>
              <w:t>µ</w:t>
            </w:r>
            <w:r>
              <w:t>l</w:t>
            </w:r>
          </w:p>
        </w:tc>
        <w:tc>
          <w:tcPr>
            <w:tcW w:w="803" w:type="dxa"/>
          </w:tcPr>
          <w:p w:rsidR="00BA4FAC" w:rsidRDefault="00BA4FAC" w:rsidP="007F2C88">
            <w:pPr>
              <w:jc w:val="right"/>
            </w:pPr>
            <w:r>
              <w:t>0.30</w:t>
            </w:r>
          </w:p>
        </w:tc>
        <w:tc>
          <w:tcPr>
            <w:tcW w:w="778" w:type="dxa"/>
          </w:tcPr>
          <w:p w:rsidR="00BA4FAC" w:rsidRDefault="00BA4FAC" w:rsidP="007F2C88">
            <w:pPr>
              <w:jc w:val="right"/>
            </w:pPr>
            <w:r>
              <w:t>0.30</w:t>
            </w:r>
          </w:p>
        </w:tc>
        <w:tc>
          <w:tcPr>
            <w:tcW w:w="849" w:type="dxa"/>
          </w:tcPr>
          <w:p w:rsidR="00BA4FAC" w:rsidRDefault="00BA4FAC" w:rsidP="007F2C88">
            <w:pPr>
              <w:jc w:val="right"/>
            </w:pPr>
            <w:r>
              <w:t>0.30</w:t>
            </w:r>
          </w:p>
        </w:tc>
        <w:tc>
          <w:tcPr>
            <w:tcW w:w="810" w:type="dxa"/>
          </w:tcPr>
          <w:p w:rsidR="00BA4FAC" w:rsidRDefault="00BA4FAC" w:rsidP="007F2C88">
            <w:pPr>
              <w:jc w:val="right"/>
            </w:pPr>
            <w:r>
              <w:t>0.30</w:t>
            </w:r>
          </w:p>
        </w:tc>
      </w:tr>
      <w:tr w:rsidR="00BA4FAC" w:rsidTr="007F2C88">
        <w:tc>
          <w:tcPr>
            <w:tcW w:w="5058" w:type="dxa"/>
          </w:tcPr>
          <w:p w:rsidR="00BA4FAC" w:rsidRDefault="00BA4FAC" w:rsidP="007F2C88">
            <w:r>
              <w:t>Proportion of new infections starting at 350-499</w:t>
            </w:r>
          </w:p>
        </w:tc>
        <w:tc>
          <w:tcPr>
            <w:tcW w:w="803" w:type="dxa"/>
          </w:tcPr>
          <w:p w:rsidR="00BA4FAC" w:rsidRDefault="00BA4FAC" w:rsidP="007F2C88">
            <w:pPr>
              <w:jc w:val="right"/>
            </w:pPr>
            <w:r>
              <w:t>0.20</w:t>
            </w:r>
          </w:p>
        </w:tc>
        <w:tc>
          <w:tcPr>
            <w:tcW w:w="778" w:type="dxa"/>
          </w:tcPr>
          <w:p w:rsidR="00BA4FAC" w:rsidRDefault="00BA4FAC" w:rsidP="007F2C88">
            <w:pPr>
              <w:jc w:val="right"/>
            </w:pPr>
            <w:r>
              <w:t>0.20</w:t>
            </w:r>
          </w:p>
        </w:tc>
        <w:tc>
          <w:tcPr>
            <w:tcW w:w="849" w:type="dxa"/>
          </w:tcPr>
          <w:p w:rsidR="00BA4FAC" w:rsidRDefault="00BA4FAC" w:rsidP="007F2C88">
            <w:pPr>
              <w:jc w:val="right"/>
            </w:pPr>
            <w:r>
              <w:t>0.20</w:t>
            </w:r>
          </w:p>
        </w:tc>
        <w:tc>
          <w:tcPr>
            <w:tcW w:w="810" w:type="dxa"/>
          </w:tcPr>
          <w:p w:rsidR="00BA4FAC" w:rsidRDefault="00BA4FAC" w:rsidP="007F2C88">
            <w:pPr>
              <w:jc w:val="right"/>
            </w:pPr>
            <w:r>
              <w:t>0.20</w:t>
            </w:r>
          </w:p>
        </w:tc>
      </w:tr>
      <w:tr w:rsidR="00BA4FAC" w:rsidTr="007F2C88">
        <w:tc>
          <w:tcPr>
            <w:tcW w:w="5058" w:type="dxa"/>
          </w:tcPr>
          <w:p w:rsidR="00BA4FAC" w:rsidRDefault="00BA4FAC" w:rsidP="007F2C88">
            <w:r>
              <w:t>Median time from infection to AIDS death (years)</w:t>
            </w:r>
          </w:p>
        </w:tc>
        <w:tc>
          <w:tcPr>
            <w:tcW w:w="803" w:type="dxa"/>
          </w:tcPr>
          <w:p w:rsidR="00BA4FAC" w:rsidRDefault="00BA4FAC" w:rsidP="007F2C88">
            <w:pPr>
              <w:jc w:val="right"/>
            </w:pPr>
            <w:r>
              <w:t>12.8</w:t>
            </w:r>
          </w:p>
        </w:tc>
        <w:tc>
          <w:tcPr>
            <w:tcW w:w="778" w:type="dxa"/>
          </w:tcPr>
          <w:p w:rsidR="00BA4FAC" w:rsidRDefault="00BA4FAC" w:rsidP="007F2C88">
            <w:pPr>
              <w:jc w:val="right"/>
            </w:pPr>
            <w:r>
              <w:t>10.6</w:t>
            </w:r>
          </w:p>
        </w:tc>
        <w:tc>
          <w:tcPr>
            <w:tcW w:w="849" w:type="dxa"/>
          </w:tcPr>
          <w:p w:rsidR="00BA4FAC" w:rsidRDefault="00BA4FAC" w:rsidP="007F2C88">
            <w:pPr>
              <w:jc w:val="right"/>
            </w:pPr>
            <w:r>
              <w:t>7.5</w:t>
            </w:r>
          </w:p>
        </w:tc>
        <w:tc>
          <w:tcPr>
            <w:tcW w:w="810" w:type="dxa"/>
          </w:tcPr>
          <w:p w:rsidR="00BA4FAC" w:rsidRDefault="00BA4FAC" w:rsidP="007F2C88">
            <w:pPr>
              <w:jc w:val="right"/>
            </w:pPr>
            <w:r>
              <w:t>5.6</w:t>
            </w:r>
          </w:p>
        </w:tc>
      </w:tr>
    </w:tbl>
    <w:p w:rsidR="00BA4FAC" w:rsidRDefault="00BA4FAC" w:rsidP="00613E9C"/>
    <w:p w:rsidR="006D6278" w:rsidRDefault="00EC3C19">
      <w:r>
        <w:t xml:space="preserve">Mortality while on ART has been estimated by the </w:t>
      </w:r>
      <w:proofErr w:type="spellStart"/>
      <w:r>
        <w:t>IeDEA</w:t>
      </w:r>
      <w:proofErr w:type="spellEnd"/>
      <w:r>
        <w:t xml:space="preserve"> </w:t>
      </w:r>
      <w:r w:rsidR="006D6278">
        <w:t xml:space="preserve">(International Epidemiologic Database to Evaluate AIDS) </w:t>
      </w:r>
      <w:r>
        <w:t>Consortium</w:t>
      </w:r>
      <w:r w:rsidR="006D6278">
        <w:t xml:space="preserve"> which has analyzed data from 50,000 patients in East </w:t>
      </w:r>
      <w:r w:rsidR="006D6278">
        <w:lastRenderedPageBreak/>
        <w:t>Africa to determine mortality of patients on ART by CD4 count at treatment initiation. In the future, mortality patterns will become available for other regions: southern Africa, West Africa, Latin America and Asia. The overall pattern of mortality by CD4 count and age is shown in Figure 2. The actual patterns used in Spectrum vary by age, sex and time on ART: 0-6 months, 7-12 months and more th</w:t>
      </w:r>
      <w:r w:rsidR="00BA4FAC">
        <w:t>an 12 months as shown in Table 3</w:t>
      </w:r>
      <w:r w:rsidR="006D6278">
        <w:t xml:space="preserve">. </w:t>
      </w:r>
    </w:p>
    <w:p w:rsidR="006D6278" w:rsidRDefault="006D6278">
      <w:r w:rsidRPr="006D6278">
        <w:drawing>
          <wp:inline distT="0" distB="0" distL="0" distR="0">
            <wp:extent cx="5943600" cy="357035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43600" cy="3570350"/>
                    </a:xfrm>
                    <a:prstGeom prst="rect">
                      <a:avLst/>
                    </a:prstGeom>
                    <a:noFill/>
                    <a:ln w="9525">
                      <a:noFill/>
                      <a:miter lim="800000"/>
                      <a:headEnd/>
                      <a:tailEnd/>
                    </a:ln>
                  </pic:spPr>
                </pic:pic>
              </a:graphicData>
            </a:graphic>
          </wp:inline>
        </w:drawing>
      </w:r>
    </w:p>
    <w:p w:rsidR="006D6278" w:rsidRDefault="006D6278">
      <w:r>
        <w:br w:type="page"/>
      </w:r>
    </w:p>
    <w:p w:rsidR="006D6278" w:rsidRDefault="006D6278">
      <w:proofErr w:type="gramStart"/>
      <w:r>
        <w:lastRenderedPageBreak/>
        <w:t xml:space="preserve">Table </w:t>
      </w:r>
      <w:r w:rsidR="00BA4FAC">
        <w:t>3</w:t>
      </w:r>
      <w:r>
        <w:t>.</w:t>
      </w:r>
      <w:proofErr w:type="gramEnd"/>
      <w:r>
        <w:t xml:space="preserve"> Annual Mortality on ART</w:t>
      </w:r>
    </w:p>
    <w:tbl>
      <w:tblPr>
        <w:tblW w:w="9726" w:type="dxa"/>
        <w:tblInd w:w="78" w:type="dxa"/>
        <w:tblLayout w:type="fixed"/>
        <w:tblLook w:val="0000"/>
      </w:tblPr>
      <w:tblGrid>
        <w:gridCol w:w="1470"/>
        <w:gridCol w:w="1032"/>
        <w:gridCol w:w="1032"/>
        <w:gridCol w:w="1032"/>
        <w:gridCol w:w="1032"/>
        <w:gridCol w:w="1032"/>
        <w:gridCol w:w="1032"/>
        <w:gridCol w:w="1032"/>
        <w:gridCol w:w="1032"/>
      </w:tblGrid>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Pr="006D6278" w:rsidRDefault="006D6278">
            <w:pPr>
              <w:autoSpaceDE w:val="0"/>
              <w:autoSpaceDN w:val="0"/>
              <w:adjustRightInd w:val="0"/>
              <w:spacing w:after="0" w:line="240" w:lineRule="auto"/>
              <w:jc w:val="right"/>
              <w:rPr>
                <w:rFonts w:ascii="Calibri" w:hAnsi="Calibri" w:cs="Calibri"/>
                <w:b/>
                <w:color w:val="000000"/>
                <w:sz w:val="22"/>
              </w:rPr>
            </w:pPr>
            <w:r>
              <w:rPr>
                <w:rFonts w:ascii="Calibri" w:hAnsi="Calibri" w:cs="Calibri"/>
                <w:b/>
                <w:color w:val="000000"/>
                <w:sz w:val="22"/>
              </w:rPr>
              <w:t>CD4 Count by Time on ART</w:t>
            </w:r>
          </w:p>
        </w:tc>
        <w:tc>
          <w:tcPr>
            <w:tcW w:w="4128" w:type="dxa"/>
            <w:gridSpan w:val="4"/>
            <w:tcBorders>
              <w:top w:val="single" w:sz="2" w:space="0" w:color="000000"/>
              <w:left w:val="single" w:sz="2" w:space="0" w:color="000000"/>
              <w:bottom w:val="single" w:sz="2" w:space="0" w:color="000000"/>
              <w:right w:val="single" w:sz="2" w:space="0" w:color="000000"/>
            </w:tcBorders>
          </w:tcPr>
          <w:p w:rsidR="006D6278" w:rsidRPr="006D6278" w:rsidRDefault="006D6278" w:rsidP="006D6278">
            <w:pPr>
              <w:autoSpaceDE w:val="0"/>
              <w:autoSpaceDN w:val="0"/>
              <w:adjustRightInd w:val="0"/>
              <w:spacing w:after="0" w:line="240" w:lineRule="auto"/>
              <w:jc w:val="center"/>
              <w:rPr>
                <w:rFonts w:ascii="Calibri" w:hAnsi="Calibri" w:cs="Calibri"/>
                <w:b/>
                <w:color w:val="000000"/>
                <w:sz w:val="22"/>
              </w:rPr>
            </w:pPr>
            <w:r w:rsidRPr="006D6278">
              <w:rPr>
                <w:rFonts w:ascii="Calibri" w:hAnsi="Calibri" w:cs="Calibri"/>
                <w:b/>
                <w:color w:val="000000"/>
                <w:sz w:val="22"/>
              </w:rPr>
              <w:t>Males</w:t>
            </w:r>
          </w:p>
        </w:tc>
        <w:tc>
          <w:tcPr>
            <w:tcW w:w="4128" w:type="dxa"/>
            <w:gridSpan w:val="4"/>
            <w:tcBorders>
              <w:top w:val="single" w:sz="2" w:space="0" w:color="000000"/>
              <w:left w:val="single" w:sz="2" w:space="0" w:color="000000"/>
              <w:bottom w:val="single" w:sz="2" w:space="0" w:color="000000"/>
              <w:right w:val="single" w:sz="2" w:space="0" w:color="000000"/>
            </w:tcBorders>
          </w:tcPr>
          <w:p w:rsidR="006D6278" w:rsidRPr="006D6278" w:rsidRDefault="006D6278" w:rsidP="006D6278">
            <w:pPr>
              <w:autoSpaceDE w:val="0"/>
              <w:autoSpaceDN w:val="0"/>
              <w:adjustRightInd w:val="0"/>
              <w:spacing w:after="0" w:line="240" w:lineRule="auto"/>
              <w:jc w:val="center"/>
              <w:rPr>
                <w:rFonts w:ascii="Calibri" w:hAnsi="Calibri" w:cs="Calibri"/>
                <w:b/>
                <w:color w:val="000000"/>
                <w:sz w:val="22"/>
              </w:rPr>
            </w:pPr>
            <w:r w:rsidRPr="006D6278">
              <w:rPr>
                <w:rFonts w:ascii="Calibri" w:hAnsi="Calibri" w:cs="Calibri"/>
                <w:b/>
                <w:color w:val="000000"/>
                <w:sz w:val="22"/>
              </w:rPr>
              <w:t>Females</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b/>
                <w:bCs/>
                <w:color w:val="000000"/>
                <w:sz w:val="22"/>
              </w:rPr>
            </w:pPr>
            <w:r>
              <w:rPr>
                <w:rFonts w:ascii="Calibri" w:hAnsi="Calibri" w:cs="Calibri"/>
                <w:b/>
                <w:bCs/>
                <w:color w:val="000000"/>
                <w:sz w:val="22"/>
              </w:rPr>
              <w:t>0-6 Months</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15-24</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25-34</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35-44</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45+</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15-24</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25-34</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35-44</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45+</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&gt;500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5.84</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4.42</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3.91</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4.40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4.22</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3.19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2.82</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3.18</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350-500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10.53</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7.97</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7.05</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7.93</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7.61</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5.76</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5.09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5.73</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250-349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14.33</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10.85</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9.59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10.79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10.35</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7.83</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6.93</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7.80</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200-249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11.13</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8.43</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7.45</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8.38</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8.04</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6.09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5.38</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6.06</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100-199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12.78</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9.68</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8.55</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9.63</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9.23</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6.99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6.18</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6.95</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50-99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22.74</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17.21</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15.22</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17.13</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16.42</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12.43</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10.99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12.37</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&lt;50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41.69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31.56</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27.90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31.40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30.11</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22.79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20.15</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22.68</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b/>
                <w:bCs/>
                <w:color w:val="000000"/>
                <w:sz w:val="22"/>
              </w:rPr>
            </w:pPr>
            <w:r>
              <w:rPr>
                <w:rFonts w:ascii="Calibri" w:hAnsi="Calibri" w:cs="Calibri"/>
                <w:b/>
                <w:bCs/>
                <w:color w:val="000000"/>
                <w:sz w:val="22"/>
              </w:rPr>
              <w:t>7-12 months</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&gt;500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1.76</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1.17</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1.19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1.42</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1.17</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0.78</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0.80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0.95</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350-500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2.36</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1.57</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1.60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1.91</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1.58</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1.05</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1.07</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1.28</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250-349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2.16</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1.44</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1.47</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1.75</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1.44</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0.96</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0.98</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1.17</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200-249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1.72</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1.14</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1.16</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1.39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1.15</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0.76</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0.78</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0.93</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100-199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2.11</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1.40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1.43</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1.71</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1.41</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0.94</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0.96</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1.14</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50-99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2.70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1.80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1.83</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2.19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1.81</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1.20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1.23</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1.46</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&lt;50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3.43</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2.28</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2.33</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2.78</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2.29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1.52</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1.56</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1.86</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b/>
                <w:bCs/>
                <w:color w:val="000000"/>
                <w:sz w:val="22"/>
              </w:rPr>
            </w:pPr>
            <w:r>
              <w:rPr>
                <w:rFonts w:ascii="Calibri" w:hAnsi="Calibri" w:cs="Calibri"/>
                <w:b/>
                <w:bCs/>
                <w:color w:val="000000"/>
                <w:sz w:val="22"/>
              </w:rPr>
              <w:t>&gt;12 months</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&gt;500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1.08</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0.72</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0.74</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0.88</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0.73</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0.48</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0.49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0.59</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350-500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1.45</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0.97</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0.99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1.18</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0.97</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0.65</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0.66</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0.79</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250-349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1.33</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0.89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0.90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1.08</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0.89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0.59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0.60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0.72</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200-249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1.06</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0.70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0.72</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0.86</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0.71</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0.47</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0.48</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0.57</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100-199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1.30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0.87</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0.88</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1.05</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0.87</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0.58</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0.59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0.71</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50-99</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1.67</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1.11</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1.13</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1.35</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1.11</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0.74</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0.76</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0.90</w:t>
            </w:r>
          </w:p>
        </w:tc>
      </w:tr>
      <w:tr w:rsidR="006D6278" w:rsidTr="006D6278">
        <w:tblPrEx>
          <w:tblCellMar>
            <w:top w:w="0" w:type="dxa"/>
            <w:bottom w:w="0" w:type="dxa"/>
          </w:tblCellMar>
        </w:tblPrEx>
        <w:trPr>
          <w:trHeight w:val="290"/>
        </w:trPr>
        <w:tc>
          <w:tcPr>
            <w:tcW w:w="1470"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rPr>
                <w:rFonts w:ascii="Calibri" w:hAnsi="Calibri" w:cs="Calibri"/>
                <w:color w:val="000000"/>
                <w:sz w:val="22"/>
              </w:rPr>
            </w:pPr>
            <w:r>
              <w:rPr>
                <w:rFonts w:ascii="Calibri" w:hAnsi="Calibri" w:cs="Calibri"/>
                <w:color w:val="000000"/>
                <w:sz w:val="22"/>
              </w:rPr>
              <w:t>&lt;50</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2.12</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1.41</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1.44</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1.71</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1.42</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0.94</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0.96</w:t>
            </w:r>
          </w:p>
        </w:tc>
        <w:tc>
          <w:tcPr>
            <w:tcW w:w="1032" w:type="dxa"/>
            <w:tcBorders>
              <w:top w:val="single" w:sz="2" w:space="0" w:color="000000"/>
              <w:left w:val="single" w:sz="2" w:space="0" w:color="000000"/>
              <w:bottom w:val="single" w:sz="2" w:space="0" w:color="000000"/>
              <w:right w:val="single" w:sz="2" w:space="0" w:color="000000"/>
            </w:tcBorders>
          </w:tcPr>
          <w:p w:rsidR="006D6278" w:rsidRDefault="006D6278">
            <w:pPr>
              <w:autoSpaceDE w:val="0"/>
              <w:autoSpaceDN w:val="0"/>
              <w:adjustRightInd w:val="0"/>
              <w:spacing w:after="0" w:line="240" w:lineRule="auto"/>
              <w:jc w:val="right"/>
              <w:rPr>
                <w:rFonts w:ascii="Calibri" w:hAnsi="Calibri" w:cs="Calibri"/>
                <w:color w:val="000000"/>
                <w:sz w:val="22"/>
              </w:rPr>
            </w:pPr>
            <w:r>
              <w:rPr>
                <w:rFonts w:ascii="Calibri" w:hAnsi="Calibri" w:cs="Calibri"/>
                <w:color w:val="000000"/>
                <w:sz w:val="22"/>
              </w:rPr>
              <w:t>1.15</w:t>
            </w:r>
          </w:p>
        </w:tc>
      </w:tr>
    </w:tbl>
    <w:p w:rsidR="00BA4FAC" w:rsidRDefault="006D6278">
      <w:r>
        <w:t xml:space="preserve"> </w:t>
      </w:r>
    </w:p>
    <w:p w:rsidR="00BA4FAC" w:rsidRDefault="00BA4FAC">
      <w:r>
        <w:br w:type="page"/>
      </w:r>
    </w:p>
    <w:p w:rsidR="006D6278" w:rsidRDefault="006D6278"/>
    <w:p w:rsidR="006D6278" w:rsidRDefault="006D6278" w:rsidP="006D6278">
      <w:pPr>
        <w:pStyle w:val="Heading2"/>
      </w:pPr>
      <w:r>
        <w:t>Allocation of New ART Patients by CD4 Count</w:t>
      </w:r>
    </w:p>
    <w:p w:rsidR="006D6278" w:rsidRDefault="006D6278" w:rsidP="006D6278"/>
    <w:p w:rsidR="006D6278" w:rsidRDefault="00BA4FAC" w:rsidP="006D6278">
      <w:r>
        <w:t xml:space="preserve">The number of people on ART in each year is an input to Spectrum. It is used to determine the number of people newly starting ART in each year. New ART patients need to be allocated across CD4 categories. Information from treatment cohorts on the distribution of new patients by CD4 count is based on a time when almost all countries defined eligibility for treatment as those with CD4 counts under 200. As most countries are now moving to the new WHO guidelines as &lt;350, past patterns may not indicate future patterns. </w:t>
      </w:r>
    </w:p>
    <w:p w:rsidR="00BA4FAC" w:rsidRDefault="00BA4FAC" w:rsidP="006D6278">
      <w:r>
        <w:t>We have considered two options for allocating new ART patients by CD4 count:</w:t>
      </w:r>
    </w:p>
    <w:p w:rsidR="00BA4FAC" w:rsidRDefault="00BA4FAC" w:rsidP="00BA4FAC">
      <w:pPr>
        <w:pStyle w:val="ListParagraph"/>
        <w:numPr>
          <w:ilvl w:val="0"/>
          <w:numId w:val="6"/>
        </w:numPr>
      </w:pPr>
      <w:r>
        <w:t>Start the same proportion on ART from each eligible CD4 category</w:t>
      </w:r>
    </w:p>
    <w:p w:rsidR="00BA4FAC" w:rsidRDefault="00BA4FAC" w:rsidP="00BA4FAC">
      <w:pPr>
        <w:pStyle w:val="ListParagraph"/>
        <w:numPr>
          <w:ilvl w:val="0"/>
          <w:numId w:val="6"/>
        </w:numPr>
      </w:pPr>
      <w:r>
        <w:t xml:space="preserve">Allocate new ART patients on the basis of expected AIDS mortality without ART. </w:t>
      </w:r>
    </w:p>
    <w:p w:rsidR="00BA4FAC" w:rsidRPr="006D6278" w:rsidRDefault="00BA4FAC" w:rsidP="00BA4FAC">
      <w:r>
        <w:t xml:space="preserve">When comparing the two methods with data from southern Africa treatment sites it appears that the first method (allocating an equal proportion from all eligible CD4 categories) tends to under-estimate the number starting at low CD4 counts and over-estimate those starting at higher CD4 counts. Weighting the allocations by expected AIDS mortality produced the opposite results, there are too many starting at low CD4 counts and too few at higher CD4 counts. An average of the two methods produces a pattern that matches the data reasonably well. Therefore, Spectrum calculates allocations according to both methods and averages the results. </w:t>
      </w:r>
    </w:p>
    <w:sectPr w:rsidR="00BA4FAC" w:rsidRPr="006D6278" w:rsidSect="00ED698E">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D54" w:rsidRDefault="00E71D54" w:rsidP="002C3DC0">
      <w:pPr>
        <w:spacing w:after="0" w:line="240" w:lineRule="auto"/>
      </w:pPr>
      <w:r>
        <w:separator/>
      </w:r>
    </w:p>
  </w:endnote>
  <w:endnote w:type="continuationSeparator" w:id="0">
    <w:p w:rsidR="00E71D54" w:rsidRDefault="00E71D54" w:rsidP="002C3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494867"/>
      <w:docPartObj>
        <w:docPartGallery w:val="Page Numbers (Bottom of Page)"/>
        <w:docPartUnique/>
      </w:docPartObj>
    </w:sdtPr>
    <w:sdtContent>
      <w:p w:rsidR="006D6278" w:rsidRDefault="006D6278">
        <w:pPr>
          <w:pStyle w:val="Footer"/>
          <w:jc w:val="center"/>
        </w:pPr>
        <w:fldSimple w:instr=" PAGE   \* MERGEFORMAT ">
          <w:r w:rsidR="00BA4FAC">
            <w:rPr>
              <w:noProof/>
            </w:rPr>
            <w:t>1</w:t>
          </w:r>
        </w:fldSimple>
      </w:p>
    </w:sdtContent>
  </w:sdt>
  <w:p w:rsidR="006D6278" w:rsidRDefault="006D62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D54" w:rsidRDefault="00E71D54" w:rsidP="002C3DC0">
      <w:pPr>
        <w:spacing w:after="0" w:line="240" w:lineRule="auto"/>
      </w:pPr>
      <w:r>
        <w:separator/>
      </w:r>
    </w:p>
  </w:footnote>
  <w:footnote w:type="continuationSeparator" w:id="0">
    <w:p w:rsidR="00E71D54" w:rsidRDefault="00E71D54" w:rsidP="002C3DC0">
      <w:pPr>
        <w:spacing w:after="0" w:line="240" w:lineRule="auto"/>
      </w:pPr>
      <w:r>
        <w:continuationSeparator/>
      </w:r>
    </w:p>
  </w:footnote>
  <w:footnote w:id="1">
    <w:p w:rsidR="006D6278" w:rsidRPr="008C19F5" w:rsidRDefault="006D6278">
      <w:pPr>
        <w:pStyle w:val="FootnoteText"/>
      </w:pPr>
      <w:r>
        <w:rPr>
          <w:rStyle w:val="FootnoteReference"/>
        </w:rPr>
        <w:footnoteRef/>
      </w:r>
      <w:r>
        <w:t xml:space="preserve"> Todd J, Glynn J, Marston M, </w:t>
      </w:r>
      <w:proofErr w:type="spellStart"/>
      <w:r>
        <w:t>Lutalo</w:t>
      </w:r>
      <w:proofErr w:type="spellEnd"/>
      <w:r>
        <w:t xml:space="preserve"> T, </w:t>
      </w:r>
      <w:proofErr w:type="spellStart"/>
      <w:r>
        <w:t>Biraro</w:t>
      </w:r>
      <w:proofErr w:type="spellEnd"/>
      <w:r>
        <w:t xml:space="preserve"> S, </w:t>
      </w:r>
      <w:proofErr w:type="spellStart"/>
      <w:r>
        <w:t>Mwita</w:t>
      </w:r>
      <w:proofErr w:type="spellEnd"/>
      <w:r>
        <w:t xml:space="preserve"> W, </w:t>
      </w:r>
      <w:proofErr w:type="spellStart"/>
      <w:r>
        <w:t>Suriyanon</w:t>
      </w:r>
      <w:proofErr w:type="spellEnd"/>
      <w:r>
        <w:t xml:space="preserve"> V, </w:t>
      </w:r>
      <w:proofErr w:type="spellStart"/>
      <w:r>
        <w:t>Rangsin</w:t>
      </w:r>
      <w:proofErr w:type="spellEnd"/>
      <w:r>
        <w:t xml:space="preserve"> R, </w:t>
      </w:r>
      <w:r>
        <w:rPr>
          <w:i/>
        </w:rPr>
        <w:t>et al.</w:t>
      </w:r>
      <w:r>
        <w:t xml:space="preserve"> Time from HIV </w:t>
      </w:r>
      <w:proofErr w:type="spellStart"/>
      <w:r>
        <w:t>seroconversion</w:t>
      </w:r>
      <w:proofErr w:type="spellEnd"/>
      <w:r>
        <w:t xml:space="preserve"> to death: a collaborative analysis of eight studies in six low and middle income </w:t>
      </w:r>
      <w:proofErr w:type="gramStart"/>
      <w:r>
        <w:t>countries  before</w:t>
      </w:r>
      <w:proofErr w:type="gramEnd"/>
      <w:r>
        <w:t xml:space="preserve"> highly active antiretroviral therapy. </w:t>
      </w:r>
      <w:r>
        <w:rPr>
          <w:i/>
        </w:rPr>
        <w:t>AIDS</w:t>
      </w:r>
      <w:r>
        <w:t xml:space="preserve"> 2007, 21(</w:t>
      </w:r>
      <w:proofErr w:type="spellStart"/>
      <w:r>
        <w:t>suppl</w:t>
      </w:r>
      <w:proofErr w:type="spellEnd"/>
      <w:r>
        <w:t xml:space="preserve"> 6):S55-S63.</w:t>
      </w:r>
    </w:p>
  </w:footnote>
  <w:footnote w:id="2">
    <w:p w:rsidR="006D6278" w:rsidRDefault="006D6278">
      <w:pPr>
        <w:pStyle w:val="FootnoteText"/>
      </w:pPr>
      <w:r>
        <w:rPr>
          <w:rStyle w:val="FootnoteReference"/>
        </w:rPr>
        <w:footnoteRef/>
      </w:r>
      <w:r>
        <w:t xml:space="preserve"> </w:t>
      </w:r>
      <w:r w:rsidRPr="0033052E">
        <w:t>Adam MA, Johnson LF. 2009. Estimation of adult antiretroviral treatment coverage in South Africa. SAMJ September 2009: 99</w:t>
      </w:r>
      <w:proofErr w:type="gramStart"/>
      <w:r w:rsidRPr="0033052E">
        <w:t>;9</w:t>
      </w:r>
      <w:proofErr w:type="gramEnd"/>
      <w:r w:rsidRPr="0033052E">
        <w:t>: 661-667.</w:t>
      </w:r>
    </w:p>
  </w:footnote>
  <w:footnote w:id="3">
    <w:p w:rsidR="006D6278" w:rsidRDefault="006D6278">
      <w:pPr>
        <w:pStyle w:val="FootnoteText"/>
      </w:pPr>
      <w:r>
        <w:rPr>
          <w:rStyle w:val="FootnoteReference"/>
        </w:rPr>
        <w:footnoteRef/>
      </w:r>
      <w:r>
        <w:t xml:space="preserve"> </w:t>
      </w:r>
      <w:r w:rsidRPr="0048605B">
        <w:rPr>
          <w:sz w:val="22"/>
        </w:rPr>
        <w:t xml:space="preserve">Johansson KA, </w:t>
      </w:r>
      <w:proofErr w:type="spellStart"/>
      <w:r w:rsidRPr="0048605B">
        <w:rPr>
          <w:sz w:val="22"/>
        </w:rPr>
        <w:t>Robberstad</w:t>
      </w:r>
      <w:proofErr w:type="spellEnd"/>
      <w:r w:rsidRPr="0048605B">
        <w:rPr>
          <w:sz w:val="22"/>
        </w:rPr>
        <w:t xml:space="preserve"> B, </w:t>
      </w:r>
      <w:proofErr w:type="spellStart"/>
      <w:r w:rsidRPr="0048605B">
        <w:rPr>
          <w:sz w:val="22"/>
        </w:rPr>
        <w:t>Norheim</w:t>
      </w:r>
      <w:proofErr w:type="spellEnd"/>
      <w:r w:rsidRPr="0048605B">
        <w:rPr>
          <w:sz w:val="22"/>
        </w:rPr>
        <w:t xml:space="preserve"> OF. Further benefits by early start of HIV treatment in low income countries: survival estimates of early versus deferred antiretroviral therapy. </w:t>
      </w:r>
      <w:r w:rsidRPr="0048605B">
        <w:rPr>
          <w:i/>
          <w:sz w:val="22"/>
        </w:rPr>
        <w:t xml:space="preserve">AIDS Research and </w:t>
      </w:r>
      <w:proofErr w:type="gramStart"/>
      <w:r w:rsidRPr="0048605B">
        <w:rPr>
          <w:i/>
          <w:sz w:val="22"/>
        </w:rPr>
        <w:t xml:space="preserve">Therapy </w:t>
      </w:r>
      <w:r w:rsidRPr="0048605B">
        <w:rPr>
          <w:sz w:val="22"/>
        </w:rPr>
        <w:t xml:space="preserve"> 2010</w:t>
      </w:r>
      <w:proofErr w:type="gramEnd"/>
      <w:r w:rsidRPr="0048605B">
        <w:rPr>
          <w:sz w:val="22"/>
        </w:rPr>
        <w:t>, 7:3.</w:t>
      </w:r>
    </w:p>
  </w:footnote>
  <w:footnote w:id="4">
    <w:p w:rsidR="006D6278" w:rsidRDefault="006D6278">
      <w:pPr>
        <w:pStyle w:val="FootnoteText"/>
      </w:pPr>
      <w:r>
        <w:rPr>
          <w:rStyle w:val="FootnoteReference"/>
        </w:rPr>
        <w:footnoteRef/>
      </w:r>
      <w:r>
        <w:t xml:space="preserve"> </w:t>
      </w:r>
      <w:proofErr w:type="spellStart"/>
      <w:r w:rsidRPr="009C4D1C">
        <w:t>Wolbers</w:t>
      </w:r>
      <w:proofErr w:type="spellEnd"/>
      <w:r w:rsidRPr="009C4D1C">
        <w:t xml:space="preserve"> M, </w:t>
      </w:r>
      <w:proofErr w:type="spellStart"/>
      <w:r w:rsidRPr="009C4D1C">
        <w:t>Babiker</w:t>
      </w:r>
      <w:proofErr w:type="spellEnd"/>
      <w:r w:rsidRPr="009C4D1C">
        <w:t xml:space="preserve"> A, Sabin C, Young J, </w:t>
      </w:r>
      <w:proofErr w:type="spellStart"/>
      <w:r w:rsidRPr="009C4D1C">
        <w:t>Dorrucci</w:t>
      </w:r>
      <w:proofErr w:type="spellEnd"/>
      <w:r w:rsidRPr="009C4D1C">
        <w:t xml:space="preserve"> M, </w:t>
      </w:r>
      <w:proofErr w:type="spellStart"/>
      <w:r w:rsidRPr="009C4D1C">
        <w:t>Chene</w:t>
      </w:r>
      <w:proofErr w:type="spellEnd"/>
      <w:r w:rsidRPr="009C4D1C">
        <w:t xml:space="preserve"> G, et al. Pretreatment CD4 cell slope and progression to AIDS or death in HIV-infected patients initiating antiretroviral therapy--the CASCADE collaboration: a collaboration of 23 cohort studies. </w:t>
      </w:r>
      <w:proofErr w:type="spellStart"/>
      <w:r w:rsidRPr="009C4D1C">
        <w:t>PLoS</w:t>
      </w:r>
      <w:proofErr w:type="spellEnd"/>
      <w:r w:rsidRPr="009C4D1C">
        <w:t xml:space="preserve"> Med. 2010; 7(2): e1000239.</w:t>
      </w:r>
    </w:p>
  </w:footnote>
  <w:footnote w:id="5">
    <w:p w:rsidR="006D6278" w:rsidRDefault="006D6278">
      <w:pPr>
        <w:pStyle w:val="FootnoteText"/>
      </w:pPr>
      <w:r>
        <w:rPr>
          <w:rStyle w:val="FootnoteReference"/>
        </w:rPr>
        <w:footnoteRef/>
      </w:r>
      <w:r>
        <w:t xml:space="preserve"> </w:t>
      </w:r>
      <w:proofErr w:type="spellStart"/>
      <w:r w:rsidRPr="009C4D1C">
        <w:t>Mellors</w:t>
      </w:r>
      <w:proofErr w:type="spellEnd"/>
      <w:r w:rsidRPr="009C4D1C">
        <w:t xml:space="preserve"> JW, </w:t>
      </w:r>
      <w:proofErr w:type="spellStart"/>
      <w:r w:rsidRPr="009C4D1C">
        <w:t>Margolick</w:t>
      </w:r>
      <w:proofErr w:type="spellEnd"/>
      <w:r w:rsidRPr="009C4D1C">
        <w:t xml:space="preserve"> JB, </w:t>
      </w:r>
      <w:proofErr w:type="spellStart"/>
      <w:r w:rsidRPr="009C4D1C">
        <w:t>Phair</w:t>
      </w:r>
      <w:proofErr w:type="spellEnd"/>
      <w:r w:rsidRPr="009C4D1C">
        <w:t xml:space="preserve"> JP, </w:t>
      </w:r>
      <w:proofErr w:type="spellStart"/>
      <w:r w:rsidRPr="009C4D1C">
        <w:t>Rinaldo</w:t>
      </w:r>
      <w:proofErr w:type="spellEnd"/>
      <w:r w:rsidRPr="009C4D1C">
        <w:t xml:space="preserve"> CR, </w:t>
      </w:r>
      <w:proofErr w:type="spellStart"/>
      <w:r w:rsidRPr="009C4D1C">
        <w:t>Detels</w:t>
      </w:r>
      <w:proofErr w:type="spellEnd"/>
      <w:r w:rsidRPr="009C4D1C">
        <w:t xml:space="preserve"> R, Jacobson LP, et al. Prognostic value of HIV-1 RNA, CD4 cell count, and CD4 Cell count slope for progression to AIDS and death in untreated HIV-1 infection. </w:t>
      </w:r>
      <w:proofErr w:type="gramStart"/>
      <w:r w:rsidRPr="009C4D1C">
        <w:t>JAMA.</w:t>
      </w:r>
      <w:proofErr w:type="gramEnd"/>
      <w:r w:rsidRPr="009C4D1C">
        <w:t xml:space="preserve"> 2007; 297(21): 2349-50.</w:t>
      </w:r>
    </w:p>
  </w:footnote>
  <w:footnote w:id="6">
    <w:p w:rsidR="006D6278" w:rsidRDefault="006D6278">
      <w:pPr>
        <w:pStyle w:val="FootnoteText"/>
      </w:pPr>
      <w:r>
        <w:rPr>
          <w:rStyle w:val="FootnoteReference"/>
        </w:rPr>
        <w:footnoteRef/>
      </w:r>
      <w:r>
        <w:t xml:space="preserve"> </w:t>
      </w:r>
      <w:r w:rsidRPr="009C4D1C">
        <w:t xml:space="preserve">Rodriguez B, Sethi AK, </w:t>
      </w:r>
      <w:proofErr w:type="spellStart"/>
      <w:r w:rsidRPr="009C4D1C">
        <w:t>Cheruvu</w:t>
      </w:r>
      <w:proofErr w:type="spellEnd"/>
      <w:r w:rsidRPr="009C4D1C">
        <w:t xml:space="preserve"> VK, Mackay W, Bosch RJ, </w:t>
      </w:r>
      <w:proofErr w:type="spellStart"/>
      <w:r w:rsidRPr="009C4D1C">
        <w:t>Kitahata</w:t>
      </w:r>
      <w:proofErr w:type="spellEnd"/>
      <w:r w:rsidRPr="009C4D1C">
        <w:t xml:space="preserve"> M, et al. Predictive value of plasma HIV RNA level on rate of CD4 T-cell decline in untreated HIV infection. </w:t>
      </w:r>
      <w:proofErr w:type="gramStart"/>
      <w:r w:rsidRPr="009C4D1C">
        <w:t>JAMA.</w:t>
      </w:r>
      <w:proofErr w:type="gramEnd"/>
      <w:r w:rsidRPr="009C4D1C">
        <w:t xml:space="preserve"> 2006; 296(12): 1498-506.</w:t>
      </w:r>
    </w:p>
  </w:footnote>
  <w:footnote w:id="7">
    <w:p w:rsidR="006D6278" w:rsidRDefault="006D6278">
      <w:pPr>
        <w:pStyle w:val="FootnoteText"/>
      </w:pPr>
      <w:r>
        <w:rPr>
          <w:rStyle w:val="FootnoteReference"/>
        </w:rPr>
        <w:footnoteRef/>
      </w:r>
      <w:r>
        <w:t xml:space="preserve"> </w:t>
      </w:r>
      <w:r w:rsidRPr="009C4D1C">
        <w:t>Williams BG, Korenromp EL, Gouws E, Schmid GP, Auvert B, Dye C. HIV infection, antiretroviral therapy, and CD4+ cell count distributions in African populations. J Infect Dis. 2006; 194(10): 1450-8.</w:t>
      </w:r>
    </w:p>
  </w:footnote>
  <w:footnote w:id="8">
    <w:p w:rsidR="006D6278" w:rsidRDefault="006D6278">
      <w:pPr>
        <w:pStyle w:val="FootnoteText"/>
      </w:pPr>
      <w:r>
        <w:rPr>
          <w:rStyle w:val="FootnoteReference"/>
        </w:rPr>
        <w:footnoteRef/>
      </w:r>
      <w:r>
        <w:t xml:space="preserve"> </w:t>
      </w:r>
      <w:r w:rsidRPr="009C4D1C">
        <w:t xml:space="preserve">Holmes CB, Wood R, </w:t>
      </w:r>
      <w:proofErr w:type="spellStart"/>
      <w:r w:rsidRPr="009C4D1C">
        <w:t>Badri</w:t>
      </w:r>
      <w:proofErr w:type="spellEnd"/>
      <w:r w:rsidRPr="009C4D1C">
        <w:t xml:space="preserve"> M, </w:t>
      </w:r>
      <w:proofErr w:type="spellStart"/>
      <w:r w:rsidRPr="009C4D1C">
        <w:t>Zilber</w:t>
      </w:r>
      <w:proofErr w:type="spellEnd"/>
      <w:r w:rsidRPr="009C4D1C">
        <w:t xml:space="preserve"> S, Wang B, </w:t>
      </w:r>
      <w:proofErr w:type="spellStart"/>
      <w:r w:rsidRPr="009C4D1C">
        <w:t>Maartens</w:t>
      </w:r>
      <w:proofErr w:type="spellEnd"/>
      <w:r w:rsidRPr="009C4D1C">
        <w:t xml:space="preserve"> G, et al. CD4 Decline and Incidence of Opportunistic Infections in Cape Town, South Africa: Implications for Prophylaxis and Treatment. </w:t>
      </w:r>
      <w:proofErr w:type="gramStart"/>
      <w:r w:rsidRPr="009C4D1C">
        <w:t>JAIDS Journal of Acquired Immune Deficiency Syndromes.</w:t>
      </w:r>
      <w:proofErr w:type="gramEnd"/>
      <w:r w:rsidRPr="009C4D1C">
        <w:t xml:space="preserve"> 2006; 42(4): 464-9 10.1097/01.qai.0000225729.79610.b7.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0CF7"/>
    <w:multiLevelType w:val="hybridMultilevel"/>
    <w:tmpl w:val="2E9C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823D3B"/>
    <w:multiLevelType w:val="hybridMultilevel"/>
    <w:tmpl w:val="2D348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2B6ECC"/>
    <w:multiLevelType w:val="hybridMultilevel"/>
    <w:tmpl w:val="BD725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E1221"/>
    <w:multiLevelType w:val="hybridMultilevel"/>
    <w:tmpl w:val="3F3A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C5347E"/>
    <w:multiLevelType w:val="hybridMultilevel"/>
    <w:tmpl w:val="1074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726766"/>
    <w:multiLevelType w:val="hybridMultilevel"/>
    <w:tmpl w:val="F198E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proofState w:spelling="clean" w:grammar="clean"/>
  <w:defaultTabStop w:val="720"/>
  <w:characterSpacingControl w:val="doNotCompress"/>
  <w:footnotePr>
    <w:footnote w:id="-1"/>
    <w:footnote w:id="0"/>
  </w:footnotePr>
  <w:endnotePr>
    <w:numFmt w:val="decimal"/>
    <w:endnote w:id="-1"/>
    <w:endnote w:id="0"/>
  </w:endnotePr>
  <w:compat>
    <w:useFELayout/>
  </w:compat>
  <w:docVars>
    <w:docVar w:name="EN.InstantFormat" w:val="&lt;ENInstantFormat&gt;&lt;Enabled&gt;1&lt;/Enabled&gt;&lt;ScanUnformatted&gt;1&lt;/ScanUnformatted&gt;&lt;ScanChanges&gt;1&lt;/ScanChanges&gt;&lt;Suspended&gt;1&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s5tv52dp0za27eeswvvzr5n0x0dd05zf9dx&quot;&gt;HIV Library&lt;record-ids&gt;&lt;item&gt;1&lt;/item&gt;&lt;item&gt;64&lt;/item&gt;&lt;item&gt;75&lt;/item&gt;&lt;item&gt;80&lt;/item&gt;&lt;item&gt;403&lt;/item&gt;&lt;/record-ids&gt;&lt;/item&gt;&lt;/Libraries&gt;"/>
  </w:docVars>
  <w:rsids>
    <w:rsidRoot w:val="00E93DE7"/>
    <w:rsid w:val="00112FD5"/>
    <w:rsid w:val="00171402"/>
    <w:rsid w:val="001C3402"/>
    <w:rsid w:val="00202B24"/>
    <w:rsid w:val="002A187C"/>
    <w:rsid w:val="002C3DC0"/>
    <w:rsid w:val="0033052E"/>
    <w:rsid w:val="00407AA2"/>
    <w:rsid w:val="00443689"/>
    <w:rsid w:val="0048605B"/>
    <w:rsid w:val="005572C0"/>
    <w:rsid w:val="005C3E81"/>
    <w:rsid w:val="005E500E"/>
    <w:rsid w:val="00613E9C"/>
    <w:rsid w:val="00616CAE"/>
    <w:rsid w:val="00642B74"/>
    <w:rsid w:val="006D6278"/>
    <w:rsid w:val="006D68D8"/>
    <w:rsid w:val="007073E8"/>
    <w:rsid w:val="00710BB4"/>
    <w:rsid w:val="007D6C08"/>
    <w:rsid w:val="00803094"/>
    <w:rsid w:val="00843C03"/>
    <w:rsid w:val="00843EEC"/>
    <w:rsid w:val="00853320"/>
    <w:rsid w:val="008C19F5"/>
    <w:rsid w:val="00922482"/>
    <w:rsid w:val="00990F7A"/>
    <w:rsid w:val="009C4D1C"/>
    <w:rsid w:val="00A115CE"/>
    <w:rsid w:val="00A952EC"/>
    <w:rsid w:val="00AA6997"/>
    <w:rsid w:val="00AD0242"/>
    <w:rsid w:val="00B367B1"/>
    <w:rsid w:val="00BA4FAC"/>
    <w:rsid w:val="00C74AD1"/>
    <w:rsid w:val="00CB6658"/>
    <w:rsid w:val="00D15DFD"/>
    <w:rsid w:val="00D87A95"/>
    <w:rsid w:val="00E26B2F"/>
    <w:rsid w:val="00E31ADF"/>
    <w:rsid w:val="00E71D54"/>
    <w:rsid w:val="00E8701C"/>
    <w:rsid w:val="00E93DE7"/>
    <w:rsid w:val="00EA20FD"/>
    <w:rsid w:val="00EC3C19"/>
    <w:rsid w:val="00ED698E"/>
    <w:rsid w:val="00EE4B4C"/>
    <w:rsid w:val="00FA01FB"/>
    <w:rsid w:val="00FC1C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EEC"/>
    <w:rPr>
      <w:rFonts w:ascii="Times New Roman" w:hAnsi="Times New Roman"/>
      <w:sz w:val="24"/>
    </w:rPr>
  </w:style>
  <w:style w:type="paragraph" w:styleId="Heading1">
    <w:name w:val="heading 1"/>
    <w:basedOn w:val="Normal"/>
    <w:next w:val="Normal"/>
    <w:link w:val="Heading1Char"/>
    <w:uiPriority w:val="9"/>
    <w:qFormat/>
    <w:rsid w:val="00E93D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3D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DE7"/>
    <w:rPr>
      <w:rFonts w:asciiTheme="majorHAnsi" w:eastAsiaTheme="majorEastAsia" w:hAnsiTheme="majorHAnsi" w:cstheme="majorBidi"/>
      <w:b/>
      <w:bCs/>
      <w:color w:val="365F91" w:themeColor="accent1" w:themeShade="BF"/>
      <w:sz w:val="28"/>
      <w:szCs w:val="28"/>
    </w:rPr>
  </w:style>
  <w:style w:type="paragraph" w:styleId="Date">
    <w:name w:val="Date"/>
    <w:basedOn w:val="Normal"/>
    <w:next w:val="Normal"/>
    <w:link w:val="DateChar"/>
    <w:uiPriority w:val="99"/>
    <w:semiHidden/>
    <w:unhideWhenUsed/>
    <w:rsid w:val="00E93DE7"/>
  </w:style>
  <w:style w:type="character" w:customStyle="1" w:styleId="DateChar">
    <w:name w:val="Date Char"/>
    <w:basedOn w:val="DefaultParagraphFont"/>
    <w:link w:val="Date"/>
    <w:uiPriority w:val="99"/>
    <w:semiHidden/>
    <w:rsid w:val="00E93DE7"/>
    <w:rPr>
      <w:rFonts w:ascii="Times New Roman" w:hAnsi="Times New Roman"/>
      <w:sz w:val="24"/>
    </w:rPr>
  </w:style>
  <w:style w:type="character" w:customStyle="1" w:styleId="Heading2Char">
    <w:name w:val="Heading 2 Char"/>
    <w:basedOn w:val="DefaultParagraphFont"/>
    <w:link w:val="Heading2"/>
    <w:uiPriority w:val="9"/>
    <w:rsid w:val="00E93DE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93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DE7"/>
    <w:rPr>
      <w:rFonts w:ascii="Tahoma" w:hAnsi="Tahoma" w:cs="Tahoma"/>
      <w:sz w:val="16"/>
      <w:szCs w:val="16"/>
    </w:rPr>
  </w:style>
  <w:style w:type="paragraph" w:styleId="ListParagraph">
    <w:name w:val="List Paragraph"/>
    <w:basedOn w:val="Normal"/>
    <w:uiPriority w:val="34"/>
    <w:qFormat/>
    <w:rsid w:val="00E93DE7"/>
    <w:pPr>
      <w:ind w:left="720"/>
      <w:contextualSpacing/>
    </w:pPr>
  </w:style>
  <w:style w:type="table" w:styleId="TableGrid">
    <w:name w:val="Table Grid"/>
    <w:basedOn w:val="TableNormal"/>
    <w:uiPriority w:val="59"/>
    <w:rsid w:val="00A11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8605B"/>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semiHidden/>
    <w:unhideWhenUsed/>
    <w:rsid w:val="002C3D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3DC0"/>
    <w:rPr>
      <w:rFonts w:ascii="Times New Roman" w:hAnsi="Times New Roman"/>
      <w:sz w:val="20"/>
      <w:szCs w:val="20"/>
    </w:rPr>
  </w:style>
  <w:style w:type="character" w:styleId="FootnoteReference">
    <w:name w:val="footnote reference"/>
    <w:basedOn w:val="DefaultParagraphFont"/>
    <w:uiPriority w:val="99"/>
    <w:semiHidden/>
    <w:unhideWhenUsed/>
    <w:rsid w:val="002C3DC0"/>
    <w:rPr>
      <w:vertAlign w:val="superscript"/>
    </w:rPr>
  </w:style>
  <w:style w:type="character" w:styleId="Hyperlink">
    <w:name w:val="Hyperlink"/>
    <w:basedOn w:val="DefaultParagraphFont"/>
    <w:uiPriority w:val="99"/>
    <w:unhideWhenUsed/>
    <w:rsid w:val="00990F7A"/>
    <w:rPr>
      <w:color w:val="0000FF" w:themeColor="hyperlink"/>
      <w:u w:val="single"/>
    </w:rPr>
  </w:style>
  <w:style w:type="paragraph" w:styleId="EndnoteText">
    <w:name w:val="endnote text"/>
    <w:basedOn w:val="Normal"/>
    <w:link w:val="EndnoteTextChar"/>
    <w:uiPriority w:val="99"/>
    <w:semiHidden/>
    <w:unhideWhenUsed/>
    <w:rsid w:val="00990F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0F7A"/>
    <w:rPr>
      <w:rFonts w:ascii="Times New Roman" w:hAnsi="Times New Roman"/>
      <w:sz w:val="20"/>
      <w:szCs w:val="20"/>
    </w:rPr>
  </w:style>
  <w:style w:type="character" w:styleId="EndnoteReference">
    <w:name w:val="endnote reference"/>
    <w:basedOn w:val="DefaultParagraphFont"/>
    <w:uiPriority w:val="99"/>
    <w:semiHidden/>
    <w:unhideWhenUsed/>
    <w:rsid w:val="00990F7A"/>
    <w:rPr>
      <w:vertAlign w:val="superscript"/>
    </w:rPr>
  </w:style>
  <w:style w:type="paragraph" w:styleId="Header">
    <w:name w:val="header"/>
    <w:basedOn w:val="Normal"/>
    <w:link w:val="HeaderChar"/>
    <w:uiPriority w:val="99"/>
    <w:semiHidden/>
    <w:unhideWhenUsed/>
    <w:rsid w:val="005E50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500E"/>
    <w:rPr>
      <w:rFonts w:ascii="Times New Roman" w:hAnsi="Times New Roman"/>
      <w:sz w:val="24"/>
    </w:rPr>
  </w:style>
  <w:style w:type="paragraph" w:styleId="Footer">
    <w:name w:val="footer"/>
    <w:basedOn w:val="Normal"/>
    <w:link w:val="FooterChar"/>
    <w:uiPriority w:val="99"/>
    <w:unhideWhenUsed/>
    <w:rsid w:val="005E5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00E"/>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90499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818</TotalTime>
  <Pages>8</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jstover</dc:creator>
  <cp:lastModifiedBy>jstover</cp:lastModifiedBy>
  <cp:revision>8</cp:revision>
  <dcterms:created xsi:type="dcterms:W3CDTF">2011-01-05T14:32:00Z</dcterms:created>
  <dcterms:modified xsi:type="dcterms:W3CDTF">2011-03-10T13:20:00Z</dcterms:modified>
</cp:coreProperties>
</file>